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comments.xml" ContentType="application/vnd.openxmlformats-officedocument.wordprocessingml.comment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ANEXO III</w:t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ATA DE REGISTRO DE PREÇOS N.º XXXXX/202</w:t>
      </w:r>
      <w:r>
        <w:rPr>
          <w:rFonts w:cs="Arial" w:ascii="Arial" w:hAnsi="Arial"/>
          <w:b/>
          <w:sz w:val="20"/>
          <w:szCs w:val="20"/>
          <w:lang w:eastAsia="pt-BR"/>
        </w:rPr>
        <w:t>4</w:t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b/>
          <w:b/>
          <w:color w:val="FF0000"/>
          <w:sz w:val="20"/>
          <w:szCs w:val="20"/>
        </w:rPr>
      </w:pPr>
      <w:r>
        <w:rPr>
          <w:rFonts w:cs="Arial" w:ascii="Arial" w:hAnsi="Arial"/>
          <w:b/>
          <w:color w:val="FF0000"/>
          <w:sz w:val="20"/>
          <w:szCs w:val="20"/>
        </w:rPr>
      </w:r>
    </w:p>
    <w:p>
      <w:pPr>
        <w:pStyle w:val="Normal"/>
        <w:widowControl w:val="false"/>
        <w:ind w:right="-30" w:hanging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36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PROCESSO Nº: </w:t>
      </w:r>
      <w:r>
        <w:rPr>
          <w:rFonts w:cs="Arial" w:ascii="ArialMT" w:hAnsi="ArialMT"/>
          <w:b/>
          <w:bCs/>
          <w:color w:val="000000"/>
          <w:sz w:val="20"/>
          <w:szCs w:val="20"/>
        </w:rPr>
        <w:t xml:space="preserve"> </w:t>
      </w:r>
      <w:r>
        <w:rPr>
          <w:rFonts w:ascii="ArialMT" w:hAnsi="ArialMT"/>
          <w:b w:val="false"/>
          <w:i w:val="false"/>
          <w:color w:val="000000"/>
          <w:sz w:val="20"/>
        </w:rPr>
        <w:t>23066.050933/2024-64</w:t>
      </w:r>
    </w:p>
    <w:p>
      <w:pPr>
        <w:pStyle w:val="Normal"/>
        <w:spacing w:before="0" w:after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VALIDADE: </w:t>
      </w:r>
      <w:r>
        <w:rPr>
          <w:rFonts w:cs="Arial" w:ascii="Arial" w:hAnsi="Arial"/>
          <w:b/>
          <w:sz w:val="20"/>
          <w:szCs w:val="20"/>
        </w:rPr>
        <w:t>1 (UM) ANO</w:t>
      </w:r>
    </w:p>
    <w:p>
      <w:pPr>
        <w:pStyle w:val="Normal"/>
        <w:widowControl w:val="false"/>
        <w:tabs>
          <w:tab w:val="clear" w:pos="708"/>
          <w:tab w:val="center" w:pos="4779" w:leader="none"/>
          <w:tab w:val="right" w:pos="9198" w:leader="none"/>
        </w:tabs>
        <w:ind w:right="-28" w:first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A</w:t>
      </w:r>
      <w:r>
        <w:rPr>
          <w:rFonts w:cs="Arial" w:ascii="Arial" w:hAnsi="Arial"/>
          <w:b/>
          <w:bCs/>
          <w:sz w:val="20"/>
          <w:szCs w:val="20"/>
        </w:rPr>
        <w:t xml:space="preserve"> UNIVERSIDADE FEDERAL DA BAHIA</w:t>
      </w:r>
      <w:r>
        <w:rPr>
          <w:rFonts w:cs="Arial" w:ascii="Arial" w:hAnsi="Arial"/>
          <w:sz w:val="20"/>
          <w:szCs w:val="20"/>
        </w:rPr>
        <w:t xml:space="preserve">, instituição de ensino superior, autarquia federal, vinculada ao Ministério da Educação, inscrita no CNPJ sob o nº 15.180.714/0001-04, com sede na Rua Augusto Viana, s/n, Palácio da Reitoria, bairro Canela, município de Salvador/BA, CEP 40.110-909, neste ato representada por Elieide Santos Orrico – Coordenadora da Coordenação de Material e Patrimônio da UFBA, nomeada em conformidade com as atribuições que lhe foram delegadas pela Portaria nº 56, de 17/03/2015, portador(a) da matrícula funcional nº 1574037, considerando o julgamento da licitação na modalidade de pregão, na forma eletrônica, para </w:t>
      </w:r>
      <w:r>
        <w:rPr>
          <w:rFonts w:cs="Arial" w:ascii="Arial" w:hAnsi="Arial"/>
          <w:b/>
          <w:sz w:val="20"/>
          <w:szCs w:val="20"/>
        </w:rPr>
        <w:t xml:space="preserve">REGISTRO DE PREÇOS nº </w:t>
      </w:r>
      <w:r>
        <w:rPr>
          <w:rFonts w:cs="Arial" w:ascii="Arial" w:hAnsi="Arial"/>
          <w:b/>
          <w:bCs/>
          <w:i w:val="false"/>
          <w:color w:val="000000"/>
          <w:sz w:val="20"/>
          <w:szCs w:val="20"/>
        </w:rPr>
        <w:t>90032/2024</w:t>
      </w:r>
      <w:r>
        <w:rPr>
          <w:rFonts w:cs="Arial" w:ascii="Arial" w:hAnsi="Arial"/>
          <w:sz w:val="20"/>
          <w:szCs w:val="20"/>
        </w:rPr>
        <w:t xml:space="preserve">, homologada em </w:t>
      </w:r>
      <w:r>
        <w:rPr>
          <w:rFonts w:cs="Arial" w:ascii="Arial" w:hAnsi="Arial"/>
          <w:b/>
          <w:sz w:val="20"/>
          <w:szCs w:val="20"/>
        </w:rPr>
        <w:t>xx/xx/xxxx</w:t>
      </w:r>
      <w:r>
        <w:rPr>
          <w:rFonts w:cs="Arial" w:ascii="Arial" w:hAnsi="Arial"/>
          <w:sz w:val="20"/>
          <w:szCs w:val="20"/>
        </w:rPr>
        <w:t xml:space="preserve"> e publicada </w:t>
      </w:r>
      <w:r>
        <w:rPr>
          <w:rFonts w:cs="Arial" w:ascii="Arial" w:hAnsi="Arial"/>
          <w:b/>
          <w:sz w:val="20"/>
          <w:szCs w:val="20"/>
        </w:rPr>
        <w:t>no D.O.U. de xx/xx/xxxx</w:t>
      </w:r>
      <w:r>
        <w:rPr>
          <w:rFonts w:cs="Arial" w:ascii="Arial" w:hAnsi="Arial"/>
          <w:sz w:val="20"/>
          <w:szCs w:val="20"/>
        </w:rPr>
        <w:t xml:space="preserve">, processo administrativo n.º </w:t>
      </w:r>
      <w:r>
        <w:rPr>
          <w:rFonts w:cs="Arial" w:ascii="ArialMT" w:hAnsi="ArialMT"/>
          <w:b/>
          <w:bCs/>
          <w:color w:val="000000"/>
          <w:sz w:val="20"/>
          <w:szCs w:val="20"/>
        </w:rPr>
        <w:t xml:space="preserve"> </w:t>
      </w:r>
      <w:r>
        <w:rPr>
          <w:rFonts w:ascii="ArialMT" w:hAnsi="ArialMT"/>
          <w:b w:val="false"/>
          <w:i w:val="false"/>
          <w:color w:val="000000"/>
          <w:sz w:val="20"/>
        </w:rPr>
        <w:t>23066.050933/2024-64</w:t>
      </w:r>
      <w:r>
        <w:rPr>
          <w:rFonts w:cs="Arial" w:ascii="Arial" w:hAnsi="Arial"/>
          <w:sz w:val="20"/>
          <w:szCs w:val="20"/>
        </w:rPr>
        <w:t>, RESOLVE registrar os preços da(s)  empresa(s) indicada(s) e qualificada(s) nesta ATA, de acordo com a classificação por ela(s) alcançada(s) e na(s)  quantidade(s)  cotada(s), atendendo as condições previstas no Edital de licitação, sujeitando-se as partes às normas constantes na Lei nº 14.133, de 1º de abril de 2021, no Decreto n.º 11.462, de 31 de março de 2023, e em conformidade com as disposições a seguir:</w:t>
      </w:r>
    </w:p>
    <w:p>
      <w:pPr>
        <w:pStyle w:val="Normal"/>
        <w:widowControl w:val="false"/>
        <w:tabs>
          <w:tab w:val="clear" w:pos="708"/>
          <w:tab w:val="center" w:pos="4779" w:leader="none"/>
          <w:tab w:val="right" w:pos="9198" w:leader="none"/>
        </w:tabs>
        <w:ind w:right="-28" w:firstLine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DO OBJETO</w:t>
      </w:r>
    </w:p>
    <w:p>
      <w:pPr>
        <w:pStyle w:val="Nivel2"/>
        <w:numPr>
          <w:ilvl w:val="1"/>
          <w:numId w:val="4"/>
        </w:numPr>
        <w:ind w:left="0" w:hanging="0"/>
        <w:rPr/>
      </w:pPr>
      <w:r>
        <w:rPr/>
        <w:t xml:space="preserve">A presente </w:t>
      </w:r>
      <w:r>
        <w:rPr>
          <w:rFonts w:cs="Arial"/>
          <w:color w:val="000000"/>
          <w:sz w:val="20"/>
          <w:szCs w:val="20"/>
          <w:lang w:eastAsia="pt-BR"/>
        </w:rPr>
        <w:t>a</w:t>
      </w:r>
      <w:r>
        <w:rPr/>
        <w:t xml:space="preserve">ta tem por objeto o Registro de Preços para </w:t>
      </w:r>
      <w:r>
        <w:rPr>
          <w:rFonts w:ascii="ArialMT" w:hAnsi="ArialMT"/>
        </w:rPr>
        <w:t xml:space="preserve"> </w:t>
      </w:r>
      <w:r>
        <w:rPr>
          <w:rFonts w:ascii="ArialMT" w:hAnsi="ArialMT"/>
          <w:b w:val="false"/>
          <w:i w:val="false"/>
          <w:color w:val="000000"/>
          <w:sz w:val="20"/>
        </w:rPr>
        <w:t xml:space="preserve">contratação de solução de tecnologia da informação e comunicação de </w:t>
      </w:r>
      <w:r>
        <w:rPr>
          <w:rFonts w:ascii="Arial-BoldMT" w:hAnsi="Arial-BoldMT"/>
          <w:b/>
          <w:i w:val="false"/>
          <w:color w:val="FF0000"/>
          <w:sz w:val="20"/>
        </w:rPr>
        <w:t>licenças de softwares para atender às necessidades das diferentes unidades da Universidade Federal da Bahia</w:t>
      </w:r>
      <w:r>
        <w:rPr/>
        <w:t xml:space="preserve">, conforme especificado no Termo de Referência, anexo I do edital de </w:t>
      </w:r>
      <w:r>
        <w:rPr>
          <w:b/>
          <w:bCs/>
          <w:iCs/>
        </w:rPr>
        <w:t xml:space="preserve">Pregão SRP nº </w:t>
      </w:r>
      <w:r>
        <w:rPr>
          <w:rFonts w:cs="Arial" w:ascii="Arial" w:hAnsi="Arial"/>
          <w:b/>
          <w:bCs/>
          <w:i w:val="false"/>
          <w:iCs/>
          <w:color w:val="000000"/>
          <w:sz w:val="20"/>
          <w:szCs w:val="20"/>
        </w:rPr>
        <w:t>90032/2024</w:t>
      </w:r>
      <w:r>
        <w:rPr/>
        <w:t>, que é parte integrante desta Ata, assim como as propostas cujos preços tenham sido registrados, independentemente de transcrição.</w:t>
      </w:r>
    </w:p>
    <w:p>
      <w:pPr>
        <w:pStyle w:val="Nivel2"/>
        <w:numPr>
          <w:ilvl w:val="0"/>
          <w:numId w:val="0"/>
        </w:numPr>
        <w:ind w:left="0" w:hanging="0"/>
        <w:rPr/>
      </w:pPr>
      <w:r>
        <w:rPr/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DOS PREÇOS, ESPECIFICAÇÕES E QUANTITATIVOS</w:t>
      </w:r>
    </w:p>
    <w:p>
      <w:pPr>
        <w:pStyle w:val="Nivel2"/>
        <w:numPr>
          <w:ilvl w:val="1"/>
          <w:numId w:val="4"/>
        </w:numPr>
        <w:ind w:left="0" w:hanging="0"/>
        <w:rPr/>
      </w:pPr>
      <w:r>
        <w:rPr/>
        <w:t xml:space="preserve">O preço registrado, as especificações do objeto, as quantidades mínimas e máximas de cada item, fornecedor(es) e as demais condições ofertadas na(s) proposta(s) são as que seguem: </w:t>
      </w:r>
    </w:p>
    <w:tbl>
      <w:tblPr>
        <w:tblW w:w="9392" w:type="dxa"/>
        <w:jc w:val="left"/>
        <w:tblInd w:w="2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96"/>
        <w:gridCol w:w="1333"/>
        <w:gridCol w:w="1254"/>
        <w:gridCol w:w="1540"/>
        <w:gridCol w:w="1122"/>
        <w:gridCol w:w="1120"/>
        <w:gridCol w:w="842"/>
        <w:gridCol w:w="840"/>
        <w:gridCol w:w="844"/>
      </w:tblGrid>
      <w:tr>
        <w:trPr>
          <w:trHeight w:val="511" w:hRule="atLeast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Item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Fornecedor </w:t>
            </w:r>
            <w:r>
              <w:rPr>
                <w:rFonts w:cs="Arial" w:ascii="Arial" w:hAnsi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674" w:hRule="atLeast"/>
        </w:trPr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Especificação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 xml:space="preserve">Marca 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Modelo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Unidade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QuantidadeMáxima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 Mínima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>
        <w:trPr>
          <w:trHeight w:val="174" w:hRule="atLeast"/>
        </w:trPr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ivel2"/>
        <w:numPr>
          <w:ilvl w:val="1"/>
          <w:numId w:val="4"/>
        </w:numPr>
        <w:ind w:left="0" w:hanging="0"/>
        <w:rPr>
          <w:lang w:eastAsia="en-US"/>
        </w:rPr>
      </w:pPr>
      <w:r>
        <w:rPr>
          <w:lang w:eastAsia="en-US"/>
        </w:rPr>
        <w:t>A listagem do cadastro de reserva referente ao presente registro de preços consta como anexo a esta Ata.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ÓRGÃO(S) GERENCIADOR E  PARTICIPANTE(S)</w:t>
      </w:r>
    </w:p>
    <w:p>
      <w:pPr>
        <w:pStyle w:val="Nivel2"/>
        <w:numPr>
          <w:ilvl w:val="1"/>
          <w:numId w:val="4"/>
        </w:numPr>
        <w:ind w:left="0" w:hanging="0"/>
        <w:rPr/>
      </w:pPr>
      <w:r>
        <w:rPr/>
        <w:t>O órgão gerenciador será a Universidade Federal da Bahia.</w:t>
      </w:r>
    </w:p>
    <w:p>
      <w:pPr>
        <w:pStyle w:val="Nvel2Red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Além do gerenciador, não há órgãos e entidades públicas participantes do registro de preços.</w:t>
      </w:r>
    </w:p>
    <w:p>
      <w:pPr>
        <w:pStyle w:val="Nvel2Red"/>
        <w:numPr>
          <w:ilvl w:val="0"/>
          <w:numId w:val="0"/>
        </w:numPr>
        <w:ind w:left="0" w:hanging="0"/>
        <w:rPr/>
      </w:pPr>
      <w:r>
        <w:rPr/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 xml:space="preserve">DA ADESÃO À ATA DE REGISTRO DE PREÇOS </w:t>
      </w:r>
    </w:p>
    <w:p>
      <w:pPr>
        <w:pStyle w:val="Nvel2Red"/>
        <w:numPr>
          <w:ilvl w:val="1"/>
          <w:numId w:val="4"/>
        </w:numPr>
        <w:ind w:left="0" w:hanging="0"/>
        <w:rPr>
          <w:lang w:eastAsia="en-US"/>
        </w:rPr>
      </w:pPr>
      <w:r>
        <w:rPr>
          <w:color w:val="auto"/>
          <w:lang w:eastAsia="en-US"/>
        </w:rPr>
        <w:t xml:space="preserve"> </w:t>
      </w:r>
      <w:commentRangeStart w:id="0"/>
      <w:r>
        <w:rPr>
          <w:color w:val="auto"/>
          <w:lang w:eastAsia="en-US"/>
        </w:rPr>
        <w:t xml:space="preserve">Não será admitida a adesão à ata de registro de preços </w:t>
      </w:r>
      <w:r>
        <w:rPr>
          <w:color w:val="auto"/>
          <w:lang w:eastAsia="en-US"/>
        </w:rPr>
      </w:r>
      <w:commentRangeEnd w:id="0"/>
      <w:r>
        <w:commentReference w:id="0"/>
      </w:r>
      <w:r>
        <w:rPr>
          <w:color w:val="auto"/>
          <w:lang w:eastAsia="en-US"/>
        </w:rPr>
        <w:t>decorrente desta licitação.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VALIDADE, FORMALIZAÇÃO DA ATA DE REGISTRO DE PREÇOS E CADASTRO RESERVA</w:t>
      </w:r>
    </w:p>
    <w:p>
      <w:pPr>
        <w:pStyle w:val="Nivel2"/>
        <w:numPr>
          <w:ilvl w:val="1"/>
          <w:numId w:val="4"/>
        </w:numPr>
        <w:ind w:left="0" w:hanging="0"/>
        <w:rPr>
          <w:iCs/>
          <w:color w:val="auto"/>
        </w:rPr>
      </w:pPr>
      <w:r>
        <w:rPr>
          <w:color w:val="auto"/>
        </w:rPr>
        <w:t>A validade da Ata de Registro de Preços será de 1 (um) ano, contado a partir do primeiro dia útil subsequente à data de divulgação no PNCP, podendo ser prorrogada por igual período, mediante a anuência do fornecedor, desde que comprovado o preço vantajoso.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O contrato decorrente da ata de registro de preços terá sua vigência estabelecida no próprio instrumento contratual e observará no momento da contratação e a cada exercício financeiro a disponibilidade de créditos orçamentários, bem como a previsão no plano plurianual, quando ultrapassar 1 (um) exercício financeiro.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Na formalização do contrato ou do instrumento substituto deverá haver a indicação da disponibilidade dos créditos orçamentários respectivos.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 contratação com os fornecedores registrados na ata será formalizada pelo órgão ou pela en</w:t>
      </w:r>
      <w:r>
        <w:rPr>
          <w:rFonts w:eastAsia="Arial"/>
          <w:color w:val="auto"/>
        </w:rPr>
        <w:t>ti</w:t>
      </w:r>
      <w:r>
        <w:rPr>
          <w:color w:val="auto"/>
        </w:rPr>
        <w:t>dade interessada por intermédio de instrumento contratual, emissão de nota de empenho de despesa, autorização de compra ou outro instrumento hábil, conforme o art. 95 da Lei nº 14.133, de 2021.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>O instrumento contratual de que trata o item 5.2. deverá ser assinado no prazo de validade da ata de registro de preços.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Os contratos decorrentes do sistema de registro de preços poderão ser alterados, observado o art. 124 da Lei nº 14.133, de 2021.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Após a homologação da licitação ou da contratação direta, deverão ser observadas as seguintes condições para formalização da ata de registro de preços: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Serão registrados na ata os preços e os quantita</w:t>
      </w:r>
      <w:r>
        <w:rPr>
          <w:rFonts w:eastAsia="Arial"/>
          <w:color w:val="auto"/>
        </w:rPr>
        <w:t>ti</w:t>
      </w:r>
      <w:r>
        <w:rPr>
          <w:color w:val="auto"/>
        </w:rPr>
        <w:t xml:space="preserve">vos do adjudicatário, devendo ser observada a possibilidade de o licitante oferecer ou não proposta em quantitativo inferior ao máximo previsto </w:t>
      </w:r>
      <w:r>
        <w:rPr>
          <w:i/>
          <w:iCs/>
          <w:color w:val="auto"/>
        </w:rPr>
        <w:t xml:space="preserve">no edital </w:t>
      </w:r>
      <w:r>
        <w:rPr>
          <w:color w:val="auto"/>
        </w:rPr>
        <w:t>e se obrigar nos limites dela;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Será incluído na ata, na forma de anexo, o registro dos licitantes ou dos fornecedores que:</w:t>
      </w:r>
    </w:p>
    <w:p>
      <w:pPr>
        <w:pStyle w:val="Nvel4"/>
        <w:numPr>
          <w:ilvl w:val="3"/>
          <w:numId w:val="4"/>
        </w:numPr>
        <w:ind w:left="567" w:hanging="0"/>
        <w:rPr>
          <w:color w:val="auto"/>
        </w:rPr>
      </w:pPr>
      <w:r>
        <w:rPr>
          <w:color w:val="auto"/>
        </w:rPr>
        <w:t xml:space="preserve">Aceitarem cotar os bens, as obras ou os serviços com preços iguais aos do adjudicatário, observada a classificação da licitação; e </w:t>
      </w:r>
    </w:p>
    <w:p>
      <w:pPr>
        <w:pStyle w:val="Nvel4"/>
        <w:numPr>
          <w:ilvl w:val="3"/>
          <w:numId w:val="4"/>
        </w:numPr>
        <w:ind w:left="567" w:hanging="0"/>
        <w:rPr>
          <w:color w:val="auto"/>
        </w:rPr>
      </w:pPr>
      <w:r>
        <w:rPr>
          <w:color w:val="auto"/>
        </w:rPr>
        <w:t xml:space="preserve">Mantiverem sua proposta original. </w:t>
      </w:r>
      <w:bookmarkStart w:id="0" w:name="cadastro_reserva"/>
      <w:bookmarkEnd w:id="0"/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Será respeitada, nas contratações, a ordem de classificação dos licitantes ou dos fornecedores registrados na ata.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registro a que se refere o item 5.4.2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>tem por obje</w:t>
      </w:r>
      <w:r>
        <w:rPr>
          <w:rFonts w:eastAsia="Arial"/>
          <w:color w:val="auto"/>
        </w:rPr>
        <w:t>ti</w:t>
      </w:r>
      <w:r>
        <w:rPr>
          <w:color w:val="auto"/>
        </w:rPr>
        <w:t>vo a formação de cadastro de reserva para o caso de impossibilidade de atendimento pelo signatário da ata.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Para fins da ordem de classificação, os licitantes ou fornecedores que aceitarem reduzir suas propostas para o preço do adjudicatário antecederão aqueles que mantiverem sua proposta original.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A habilitação dos licitantes que comporão o cadastro de reserva a que se refere o item </w:t>
      </w:r>
      <w:r>
        <w:rPr>
          <w:color w:val="auto"/>
        </w:rPr>
        <w:fldChar w:fldCharType="begin"/>
      </w:r>
      <w:r>
        <w:rPr>
          <w:color w:val="auto"/>
        </w:rPr>
        <w:instrText> REF cadastro_reserva \r \h </w:instrText>
      </w:r>
      <w:r>
        <w:rPr>
          <w:color w:val="auto"/>
        </w:rPr>
        <w:fldChar w:fldCharType="separate"/>
      </w:r>
      <w:r>
        <w:rPr>
          <w:color w:val="auto"/>
        </w:rPr>
        <w:t>5.4.2.2.</w:t>
      </w:r>
      <w:r>
        <w:rPr>
          <w:color w:val="auto"/>
        </w:rPr>
        <w:fldChar w:fldCharType="end"/>
      </w:r>
      <w:r>
        <w:rPr>
          <w:color w:val="auto"/>
        </w:rPr>
        <w:t xml:space="preserve"> somente será efetuada quando houver necessidade de contratação dos licitantes remanescentes, nas seguintes hipóteses: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Quando o licitante vencedor não assinar a ata de registro de preços, no prazo e nas condições estabelecidos </w:t>
      </w:r>
      <w:r>
        <w:rPr>
          <w:i/>
          <w:iCs/>
          <w:color w:val="auto"/>
        </w:rPr>
        <w:t>no edital;</w:t>
      </w:r>
      <w:r>
        <w:rPr>
          <w:color w:val="auto"/>
        </w:rPr>
        <w:t xml:space="preserve"> e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Quando houver o cancelamento do registro do licitante ou do registro de preços nas hipóteses previstas no item </w:t>
      </w:r>
      <w:r>
        <w:rPr>
          <w:color w:val="auto"/>
        </w:rPr>
        <w:fldChar w:fldCharType="begin"/>
      </w:r>
      <w:r>
        <w:rPr>
          <w:color w:val="auto"/>
        </w:rPr>
        <w:instrText> REF cancelamento \r \h </w:instrText>
      </w:r>
      <w:r>
        <w:rPr>
          <w:color w:val="auto"/>
        </w:rPr>
        <w:fldChar w:fldCharType="separate"/>
      </w:r>
      <w:r>
        <w:rPr>
          <w:color w:val="auto"/>
        </w:rPr>
        <w:t>9.</w:t>
      </w:r>
      <w:r>
        <w:rPr>
          <w:color w:val="auto"/>
        </w:rPr>
        <w:fldChar w:fldCharType="end"/>
      </w:r>
      <w:r>
        <w:rPr>
          <w:color w:val="auto"/>
        </w:rPr>
        <w:t>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preço registrado com indicação dos licitantes e fornecedores será divulgado no PNCP e ficará disponibilizado durante a vigência da ata de registro de preços.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 decair o direito, sem prejuízo das sanções previstas na Lei nº 14.133, de 2021.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O prazo de convocação poderá ser prorrogado 1 (uma) vez, por igual período, mediante solicitação do licitante ou fornecedor convocado, desde que apresentada dentro do prazo, devidamente justificada, e que a justificativa seja aceita pela Administração.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 ata de registro de preços será assinada por meio de assinatura digital e disponibilizada no Sistema de Registro de Preços.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Quando o convocado não assinar a ata de registro de preços no prazo e nas condições estabelecidos no edital ou no aviso de contratação, e observado o disposto no item </w:t>
      </w:r>
      <w:r>
        <w:rPr>
          <w:color w:val="auto"/>
        </w:rPr>
        <w:fldChar w:fldCharType="begin"/>
      </w:r>
      <w:r>
        <w:rPr>
          <w:color w:val="auto"/>
        </w:rPr>
        <w:instrText> REF habilitacao_reserva \r \h </w:instrText>
      </w:r>
      <w:r>
        <w:rPr>
          <w:color w:val="auto"/>
        </w:rPr>
        <w:fldChar w:fldCharType="separate"/>
      </w:r>
      <w:r>
        <w:rPr>
          <w:color w:val="auto"/>
        </w:rPr>
        <w:t>Erro: Origem da referência não encontrada</w:t>
      </w:r>
      <w:r>
        <w:rPr>
          <w:color w:val="auto"/>
        </w:rPr>
        <w:fldChar w:fldCharType="end"/>
      </w:r>
      <w:r>
        <w:rPr>
          <w:color w:val="auto"/>
        </w:rPr>
        <w:t>, observando o item 5.7 e subitens, fica facultado à Administração convocar os licitantes remanescentes do cadastro de reserva, na ordem de classificação, para fazê-lo em igual prazo e nas condições propostas pelo primeiro classificado.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de nenhum dos licitantes que trata o item 5.4.2.1, aceitar a contratação nos termos do item anterior, a Administração, observados o valor es</w:t>
      </w:r>
      <w:r>
        <w:rPr>
          <w:rFonts w:eastAsia="Arial"/>
          <w:color w:val="auto"/>
        </w:rPr>
        <w:t>ti</w:t>
      </w:r>
      <w:r>
        <w:rPr>
          <w:color w:val="auto"/>
        </w:rPr>
        <w:t xml:space="preserve">mado e sua eventual atualização nos termos </w:t>
      </w:r>
      <w:r>
        <w:rPr>
          <w:i/>
          <w:iCs/>
          <w:color w:val="auto"/>
        </w:rPr>
        <w:t>do edital</w:t>
      </w:r>
      <w:r>
        <w:rPr>
          <w:color w:val="auto"/>
        </w:rPr>
        <w:t>, poderá: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Convocar para negociação os demais licitantes ou fornecedores remanescentes cujos preços foram registrados sem redução, observada a ordem de classificação, com vistas à obtenção de preço melhor, mesmo que acima do preço do adjudicatário; ou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Adjudicar e firmar o contrato nas condições ofertadas pelos licitantes ou fornecedores remanescentes, atendida a ordem classificatória, quando frustrada a negociação de melhor condição.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A existência de preços registrados implicará compromisso de fornecimento nas condições estabelecidas, mas não obrigará a Administração a contratar, facultada a realização de licitação específica para a aquisição pretendida, desde que devidamente justificada.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ALTERAÇÃO OU ATUALIZAÇÃO DOS PREÇOS REGISTRADOS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Os preços registrados poderão ser alterados ou atualizados em decorrência de eventual redução dos preços pra</w:t>
      </w:r>
      <w:r>
        <w:rPr>
          <w:rFonts w:eastAsia="Calibri"/>
          <w:color w:val="auto"/>
        </w:rPr>
        <w:t>ti</w:t>
      </w:r>
      <w:r>
        <w:rPr>
          <w:color w:val="auto"/>
        </w:rPr>
        <w:t>cados no mercado ou de fato que eleve o custo dos bens, das obras ou dos serviços registrados, nas seguintes situações: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Em caso de força maior, caso fortuito ou fato do príncipe ou em decorrência de fatos imprevisíveis ou previsíveis de consequências incalculáveis, que inviabilizem a execução da ata tal como pactuada, nos termos da alínea “d” do inciso II do caput do art. 124 da Lei nº 14.133, de 2021;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Em caso de criação, alteração ou ex</w:t>
      </w:r>
      <w:r>
        <w:rPr>
          <w:rFonts w:eastAsia="Calibri"/>
          <w:color w:val="auto"/>
        </w:rPr>
        <w:t>ti</w:t>
      </w:r>
      <w:r>
        <w:rPr>
          <w:color w:val="auto"/>
        </w:rPr>
        <w:t xml:space="preserve">nção de quaisquer tributos ou encargos legais ou a superveniência de disposições legais, com comprovada repercussão sobre os preços registrados; 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Na hipótese de previsão no edital ou no aviso de contratação direta de cláusula de reajustamento ou repactuação sobre os preços registrados, nos termos da Lei nº 14.133, de 2021.</w:t>
      </w:r>
    </w:p>
    <w:p>
      <w:pPr>
        <w:pStyle w:val="Nvel4"/>
        <w:numPr>
          <w:ilvl w:val="3"/>
          <w:numId w:val="4"/>
        </w:numPr>
        <w:ind w:left="567" w:hanging="0"/>
        <w:rPr>
          <w:color w:val="auto"/>
        </w:rPr>
      </w:pPr>
      <w:r>
        <w:rPr>
          <w:color w:val="auto"/>
        </w:rPr>
        <w:t xml:space="preserve">No caso do reajustamento, deverá ser respeitada a contagem da anualidade e o índice previstos para a contratação;  </w:t>
      </w:r>
    </w:p>
    <w:p>
      <w:pPr>
        <w:pStyle w:val="Nvel4"/>
        <w:numPr>
          <w:ilvl w:val="3"/>
          <w:numId w:val="4"/>
        </w:numPr>
        <w:ind w:left="567" w:hanging="0"/>
        <w:rPr>
          <w:color w:val="auto"/>
        </w:rPr>
      </w:pPr>
      <w:r>
        <w:rPr>
          <w:color w:val="auto"/>
        </w:rPr>
        <w:t>No caso da repactuação, poderá ser a pedido do interessado, conforme critérios definidos para a contratação.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NEGOCIAÇÃO DE PREÇOS REGISTRADOS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de o preço registrado tornar-se superior ao preço pra</w:t>
      </w:r>
      <w:r>
        <w:rPr>
          <w:rFonts w:eastAsia="Calibri"/>
          <w:color w:val="auto"/>
        </w:rPr>
        <w:t>ti</w:t>
      </w:r>
      <w:r>
        <w:rPr>
          <w:color w:val="auto"/>
        </w:rPr>
        <w:t>cado no mercado por mo</w:t>
      </w:r>
      <w:r>
        <w:rPr>
          <w:rFonts w:eastAsia="Calibri"/>
          <w:color w:val="auto"/>
        </w:rPr>
        <w:t>ti</w:t>
      </w:r>
      <w:r>
        <w:rPr>
          <w:color w:val="auto"/>
        </w:rPr>
        <w:t>vo superveniente, o órgão ou en</w:t>
      </w:r>
      <w:r>
        <w:rPr>
          <w:rFonts w:eastAsia="Calibri"/>
          <w:color w:val="auto"/>
        </w:rPr>
        <w:t>ti</w:t>
      </w:r>
      <w:r>
        <w:rPr>
          <w:color w:val="auto"/>
        </w:rPr>
        <w:t>dade gerenciadora convocará o fornecedor para negociar a redução do preço registrado.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Caso não aceite reduzir seu preço aos valores pra</w:t>
      </w:r>
      <w:r>
        <w:rPr>
          <w:rFonts w:eastAsia="Calibri"/>
          <w:color w:val="auto"/>
        </w:rPr>
        <w:t>ti</w:t>
      </w:r>
      <w:r>
        <w:rPr>
          <w:color w:val="auto"/>
        </w:rPr>
        <w:t>cados pelo mercado, o fornecedor será liberado do compromisso assumido quanto ao item registrado, sem aplicação de penalidades administrativas.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Na hipótese prevista no item anterior, o gerenciador convocará os fornecedores do cadastro de reserva, na ordem de classificação, para verificar se aceitam reduzir seus preços aos valores de mercado e não convocará os licitantes ou fornecedores que tiveram seu registro cancelado. 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Se não obtiver êxito nas negociações, o órgão ou en</w:t>
      </w:r>
      <w:r>
        <w:rPr>
          <w:rFonts w:eastAsia="Calibri"/>
          <w:color w:val="auto"/>
        </w:rPr>
        <w:t>tid</w:t>
      </w:r>
      <w:r>
        <w:rPr>
          <w:color w:val="auto"/>
        </w:rPr>
        <w:t>ade gerenciadora procederá ao cancelamento da ata de registro de preços, adotando as medidas cabíveis para obtenção de contratação mais vantajosa.</w:t>
      </w:r>
      <w:bookmarkStart w:id="1" w:name="reducao_preco_mercado_negociacao_frustra"/>
      <w:bookmarkEnd w:id="1"/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Na hipótese de redução do preço registrado, o gerenciador comunicará aos órgãos e às en</w:t>
      </w:r>
      <w:r>
        <w:rPr>
          <w:rFonts w:eastAsia="Calibri"/>
          <w:color w:val="auto"/>
        </w:rPr>
        <w:t>ti</w:t>
      </w:r>
      <w:r>
        <w:rPr>
          <w:color w:val="auto"/>
        </w:rPr>
        <w:t xml:space="preserve">dades que </w:t>
      </w:r>
      <w:r>
        <w:rPr>
          <w:rFonts w:eastAsia="Calibri"/>
          <w:color w:val="auto"/>
        </w:rPr>
        <w:t>ti</w:t>
      </w:r>
      <w:r>
        <w:rPr>
          <w:color w:val="auto"/>
        </w:rPr>
        <w:t>verem firmado contratos decorrentes da ata de registro de preços para que avaliem a conveniência e a oportunidade de diligenciarem negociação com vistas à alteração contratual, observado o disposto no art. 124 da Lei nº 14.133, de 2021.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de o preço de mercado tornar-se superior ao preço registrado e o fornecedor não poder cumprir as obrigações estabelecidas na ata, será facultado ao fornecedor requerer ao gerenciador a alteração do preço registrado, mediante comprovação de fato superveniente que supostamente o impossibilite de cumprir o compromisso.</w:t>
      </w:r>
      <w:bookmarkStart w:id="2" w:name="hipotese_preco_mercado_maior"/>
      <w:bookmarkEnd w:id="2"/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Neste caso, o fornecedor encaminhará, juntamente com o pedido de alteração, a documentação comprobatória ou a planilha de custos que demonstre a inviabilidade do preço registrado em relação às condições inicialmente pactuadas.</w:t>
      </w:r>
      <w:bookmarkStart w:id="3" w:name="prova_preco_mercado_maior"/>
      <w:bookmarkEnd w:id="3"/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Não hipótese de não comprovação da existência de fato superveniente que inviabilize o preço registrado, o pedido será indeferido pelo órgão ou en</w:t>
      </w:r>
      <w:r>
        <w:rPr>
          <w:rFonts w:eastAsia="Calibri"/>
          <w:color w:val="auto"/>
        </w:rPr>
        <w:t>ti</w:t>
      </w:r>
      <w:r>
        <w:rPr>
          <w:color w:val="auto"/>
        </w:rPr>
        <w:t xml:space="preserve">dade gerenciadora e o fornecedor deverá cumprir as obrigações estabelecidas na ata, sob pena de cancelamento do seu registro, nos termos do item </w:t>
      </w:r>
      <w:r>
        <w:rPr>
          <w:color w:val="auto"/>
        </w:rPr>
        <w:fldChar w:fldCharType="begin"/>
      </w:r>
      <w:r>
        <w:rPr>
          <w:color w:val="auto"/>
        </w:rPr>
        <w:instrText> REF cancelamento_do_fornecedor \r \h </w:instrText>
      </w:r>
      <w:r>
        <w:rPr>
          <w:color w:val="auto"/>
        </w:rPr>
        <w:fldChar w:fldCharType="separate"/>
      </w:r>
      <w:r>
        <w:rPr>
          <w:color w:val="auto"/>
        </w:rPr>
        <w:t>9.1.</w:t>
      </w:r>
      <w:r>
        <w:rPr>
          <w:color w:val="auto"/>
        </w:rPr>
        <w:fldChar w:fldCharType="end"/>
      </w:r>
      <w:r>
        <w:rPr>
          <w:color w:val="auto"/>
        </w:rPr>
        <w:t>, sem prejuízo das sanções previstas na Lei nº 14.133, de 2021, e na legislação aplicável.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Na hipótese de cancelamento do registro do fornecedor, nos termos do item anterior, o gerenciador convocará os fornecedores do cadastro de reserva, na ordem de classificação, para verificar se aceitam manter seus preços registrados, observado o disposto no item 5.7.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Se não obtiver êxito nas negociações, o órgão ou entidade gerenciadora procederá ao cancelamento da ata de registro de preços, nos termos do item </w:t>
      </w:r>
      <w:r>
        <w:rPr>
          <w:color w:val="auto"/>
        </w:rPr>
        <w:fldChar w:fldCharType="begin"/>
      </w:r>
      <w:r>
        <w:rPr>
          <w:color w:val="auto"/>
        </w:rPr>
        <w:instrText> REF cancelamento_da_ata \r \h </w:instrText>
      </w:r>
      <w:r>
        <w:rPr>
          <w:color w:val="auto"/>
        </w:rPr>
        <w:fldChar w:fldCharType="separate"/>
      </w:r>
      <w:r>
        <w:rPr>
          <w:color w:val="auto"/>
        </w:rPr>
        <w:t>9.4.</w:t>
      </w:r>
      <w:r>
        <w:rPr>
          <w:color w:val="auto"/>
        </w:rPr>
        <w:fldChar w:fldCharType="end"/>
      </w:r>
      <w:r>
        <w:rPr>
          <w:color w:val="auto"/>
        </w:rPr>
        <w:t>, e adotará as medidas cabíveis para a obtenção da contratação mais vantajosa.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Na hipótese de comprovação da majoração do preço de mercado que inviabilize o preço registrado, conforme previsto no item </w:t>
      </w:r>
      <w:r>
        <w:rPr>
          <w:color w:val="auto"/>
        </w:rPr>
        <w:fldChar w:fldCharType="begin"/>
      </w:r>
      <w:r>
        <w:rPr>
          <w:color w:val="auto"/>
        </w:rPr>
        <w:instrText> REF hipotese_preco_mercado_maior \r \h </w:instrText>
      </w:r>
      <w:r>
        <w:rPr>
          <w:color w:val="auto"/>
        </w:rPr>
        <w:fldChar w:fldCharType="separate"/>
      </w:r>
      <w:r>
        <w:rPr>
          <w:color w:val="auto"/>
        </w:rPr>
        <w:t>7.2.</w:t>
      </w:r>
      <w:r>
        <w:rPr>
          <w:color w:val="auto"/>
        </w:rPr>
        <w:fldChar w:fldCharType="end"/>
      </w:r>
      <w:r>
        <w:rPr>
          <w:color w:val="auto"/>
        </w:rPr>
        <w:t xml:space="preserve"> e no item </w:t>
      </w:r>
      <w:r>
        <w:rPr>
          <w:color w:val="auto"/>
        </w:rPr>
        <w:fldChar w:fldCharType="begin"/>
      </w:r>
      <w:r>
        <w:rPr>
          <w:color w:val="auto"/>
        </w:rPr>
        <w:instrText> REF prova_preco_mercado_maior \r \h </w:instrText>
      </w:r>
      <w:r>
        <w:rPr>
          <w:color w:val="auto"/>
        </w:rPr>
        <w:fldChar w:fldCharType="separate"/>
      </w:r>
      <w:r>
        <w:rPr>
          <w:color w:val="auto"/>
        </w:rPr>
        <w:t>7.2.1.</w:t>
      </w:r>
      <w:r>
        <w:rPr>
          <w:color w:val="auto"/>
        </w:rPr>
        <w:fldChar w:fldCharType="end"/>
      </w:r>
      <w:r>
        <w:rPr>
          <w:color w:val="auto"/>
        </w:rPr>
        <w:t>, o órgão ou en</w:t>
      </w:r>
      <w:r>
        <w:rPr>
          <w:rFonts w:eastAsia="Calibri"/>
          <w:color w:val="auto"/>
        </w:rPr>
        <w:t>ti</w:t>
      </w:r>
      <w:r>
        <w:rPr>
          <w:color w:val="auto"/>
        </w:rPr>
        <w:t>dade gerenciadora atualizará o preço registrado, de acordo com a realidade dos valores praticados pelo mercado.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>O órgão ou en</w:t>
      </w:r>
      <w:r>
        <w:rPr>
          <w:rFonts w:eastAsia="Calibri"/>
          <w:color w:val="auto"/>
        </w:rPr>
        <w:t>ti</w:t>
      </w:r>
      <w:r>
        <w:rPr>
          <w:color w:val="auto"/>
        </w:rPr>
        <w:t>dade gerenciadora comunicará aos órgãos e às en</w:t>
      </w:r>
      <w:r>
        <w:rPr>
          <w:rFonts w:eastAsia="Calibri"/>
          <w:color w:val="auto"/>
        </w:rPr>
        <w:t>ti</w:t>
      </w:r>
      <w:r>
        <w:rPr>
          <w:color w:val="auto"/>
        </w:rPr>
        <w:t xml:space="preserve">dades que </w:t>
      </w:r>
      <w:r>
        <w:rPr>
          <w:rFonts w:eastAsia="Calibri"/>
          <w:color w:val="auto"/>
        </w:rPr>
        <w:t>ti</w:t>
      </w:r>
      <w:r>
        <w:rPr>
          <w:color w:val="auto"/>
        </w:rPr>
        <w:t>verem firmado contratos decorrentes da ata de registro de preços sobre a efe</w:t>
      </w:r>
      <w:r>
        <w:rPr>
          <w:rFonts w:eastAsia="Calibri"/>
          <w:color w:val="auto"/>
        </w:rPr>
        <w:t>ti</w:t>
      </w:r>
      <w:r>
        <w:rPr>
          <w:color w:val="auto"/>
        </w:rPr>
        <w:t>va alteração do preço registrado, para que avaliem a necessidade de alteração contratual, observado o disposto no art. 124 da Lei nº 14.133, de 2021.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REMANEJAMENTO DAS QUANTIDADES REGISTRADAS NA ATA DE REGISTRO DE PREÇOS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>As quan</w:t>
      </w:r>
      <w:r>
        <w:rPr>
          <w:rFonts w:eastAsia="Arial"/>
          <w:color w:val="auto"/>
        </w:rPr>
        <w:t>ti</w:t>
      </w:r>
      <w:r>
        <w:rPr>
          <w:color w:val="auto"/>
        </w:rPr>
        <w:t>dades previstas para os itens com preços registrados nas atas de registro de preços poderão ser remanejadas pelo órgão ou en</w:t>
      </w:r>
      <w:r>
        <w:rPr>
          <w:rFonts w:eastAsia="Arial"/>
          <w:color w:val="auto"/>
        </w:rPr>
        <w:t>ti</w:t>
      </w:r>
      <w:r>
        <w:rPr>
          <w:color w:val="auto"/>
        </w:rPr>
        <w:t>dade gerenciadora entre os órgãos ou as en</w:t>
      </w:r>
      <w:r>
        <w:rPr>
          <w:rFonts w:eastAsia="Arial"/>
          <w:color w:val="auto"/>
        </w:rPr>
        <w:t>ti</w:t>
      </w:r>
      <w:r>
        <w:rPr>
          <w:color w:val="auto"/>
        </w:rPr>
        <w:t>dades par</w:t>
      </w:r>
      <w:r>
        <w:rPr>
          <w:rFonts w:eastAsia="Arial"/>
          <w:color w:val="auto"/>
        </w:rPr>
        <w:t>ti</w:t>
      </w:r>
      <w:r>
        <w:rPr>
          <w:color w:val="auto"/>
        </w:rPr>
        <w:t>cipantes e não par</w:t>
      </w:r>
      <w:r>
        <w:rPr>
          <w:rFonts w:eastAsia="Arial"/>
          <w:color w:val="auto"/>
        </w:rPr>
        <w:t>ti</w:t>
      </w:r>
      <w:r>
        <w:rPr>
          <w:color w:val="auto"/>
        </w:rPr>
        <w:t>cipantes do registro de preços.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>O remanejamento somente poderá ser feito: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De órgão ou en</w:t>
      </w:r>
      <w:r>
        <w:rPr>
          <w:rFonts w:eastAsia="Arial"/>
          <w:color w:val="auto"/>
        </w:rPr>
        <w:t>ti</w:t>
      </w:r>
      <w:r>
        <w:rPr>
          <w:color w:val="auto"/>
        </w:rPr>
        <w:t>dade par</w:t>
      </w:r>
      <w:r>
        <w:rPr>
          <w:rFonts w:eastAsia="Arial"/>
          <w:color w:val="auto"/>
        </w:rPr>
        <w:t>ti</w:t>
      </w:r>
      <w:r>
        <w:rPr>
          <w:color w:val="auto"/>
        </w:rPr>
        <w:t>cipante para órgão ou en</w:t>
      </w:r>
      <w:r>
        <w:rPr>
          <w:rFonts w:eastAsia="Arial"/>
          <w:color w:val="auto"/>
        </w:rPr>
        <w:t>ti</w:t>
      </w:r>
      <w:r>
        <w:rPr>
          <w:color w:val="auto"/>
        </w:rPr>
        <w:t>dade par</w:t>
      </w:r>
      <w:r>
        <w:rPr>
          <w:rFonts w:eastAsia="Arial"/>
          <w:color w:val="auto"/>
        </w:rPr>
        <w:t>ti</w:t>
      </w:r>
      <w:r>
        <w:rPr>
          <w:color w:val="auto"/>
        </w:rPr>
        <w:t>cipante; ou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De órgão ou en</w:t>
      </w:r>
      <w:r>
        <w:rPr>
          <w:rFonts w:eastAsia="Arial"/>
          <w:color w:val="auto"/>
        </w:rPr>
        <w:t>ti</w:t>
      </w:r>
      <w:r>
        <w:rPr>
          <w:color w:val="auto"/>
        </w:rPr>
        <w:t>dade par</w:t>
      </w:r>
      <w:r>
        <w:rPr>
          <w:rFonts w:eastAsia="Arial"/>
          <w:color w:val="auto"/>
        </w:rPr>
        <w:t>ti</w:t>
      </w:r>
      <w:r>
        <w:rPr>
          <w:color w:val="auto"/>
        </w:rPr>
        <w:t>cipante para órgão ou entidade não participante.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órgão ou en</w:t>
      </w:r>
      <w:r>
        <w:rPr>
          <w:rFonts w:eastAsia="Arial"/>
          <w:color w:val="auto"/>
        </w:rPr>
        <w:t>ti</w:t>
      </w:r>
      <w:r>
        <w:rPr>
          <w:color w:val="auto"/>
        </w:rPr>
        <w:t>dade gerenciadora que tiver es</w:t>
      </w:r>
      <w:r>
        <w:rPr>
          <w:rFonts w:eastAsia="Arial"/>
          <w:color w:val="auto"/>
        </w:rPr>
        <w:t>ti</w:t>
      </w:r>
      <w:r>
        <w:rPr>
          <w:color w:val="auto"/>
        </w:rPr>
        <w:t>mado as quan</w:t>
      </w:r>
      <w:r>
        <w:rPr>
          <w:rFonts w:eastAsia="Arial"/>
          <w:color w:val="auto"/>
        </w:rPr>
        <w:t>ti</w:t>
      </w:r>
      <w:r>
        <w:rPr>
          <w:color w:val="auto"/>
        </w:rPr>
        <w:t>dades que pretende contratar será considerado participante para efeito do remanejamento.</w:t>
      </w:r>
      <w:bookmarkStart w:id="4" w:name="gerenciador_estimador_é_partic_em_remane"/>
      <w:bookmarkEnd w:id="4"/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de remanejamento de órgão ou entidade par</w:t>
      </w:r>
      <w:r>
        <w:rPr>
          <w:rFonts w:eastAsia="Arial"/>
          <w:color w:val="auto"/>
        </w:rPr>
        <w:t>ti</w:t>
      </w:r>
      <w:r>
        <w:rPr>
          <w:color w:val="auto"/>
        </w:rPr>
        <w:t>cipante para órgão ou entidade não participante, serão observados os limites previstos no art. 32 do Decreto nº 11.462, de 2023.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Competirá ao órgão ou à en</w:t>
      </w:r>
      <w:r>
        <w:rPr>
          <w:rFonts w:eastAsia="Arial"/>
          <w:color w:val="auto"/>
        </w:rPr>
        <w:t>ti</w:t>
      </w:r>
      <w:r>
        <w:rPr>
          <w:color w:val="auto"/>
        </w:rPr>
        <w:t>dade gerenciadora autorizar o remanejamento solicitado, com a redução do quan</w:t>
      </w:r>
      <w:r>
        <w:rPr>
          <w:rFonts w:eastAsia="Arial"/>
          <w:color w:val="auto"/>
        </w:rPr>
        <w:t>ti</w:t>
      </w:r>
      <w:r>
        <w:rPr>
          <w:color w:val="auto"/>
        </w:rPr>
        <w:t>ta</w:t>
      </w:r>
      <w:r>
        <w:rPr>
          <w:rFonts w:eastAsia="Arial"/>
          <w:color w:val="auto"/>
        </w:rPr>
        <w:t>ti</w:t>
      </w:r>
      <w:r>
        <w:rPr>
          <w:color w:val="auto"/>
        </w:rPr>
        <w:t>vo inicialmente informado pelo órgão ou pela en</w:t>
      </w:r>
      <w:r>
        <w:rPr>
          <w:rFonts w:eastAsia="Arial"/>
          <w:color w:val="auto"/>
        </w:rPr>
        <w:t>ti</w:t>
      </w:r>
      <w:r>
        <w:rPr>
          <w:color w:val="auto"/>
        </w:rPr>
        <w:t>dade par</w:t>
      </w:r>
      <w:r>
        <w:rPr>
          <w:rFonts w:eastAsia="Arial"/>
          <w:color w:val="auto"/>
        </w:rPr>
        <w:t>ti</w:t>
      </w:r>
      <w:r>
        <w:rPr>
          <w:color w:val="auto"/>
        </w:rPr>
        <w:t>cipante, desde que haja prévia anuência do órgão ou da en</w:t>
      </w:r>
      <w:r>
        <w:rPr>
          <w:rFonts w:eastAsia="Arial"/>
          <w:color w:val="auto"/>
        </w:rPr>
        <w:t>ti</w:t>
      </w:r>
      <w:r>
        <w:rPr>
          <w:color w:val="auto"/>
        </w:rPr>
        <w:t>dade que sofrer redução dos quantitativos informados.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Caso o remanejamento seja feito entre órgãos ou en</w:t>
      </w:r>
      <w:r>
        <w:rPr>
          <w:rFonts w:eastAsia="Arial"/>
          <w:color w:val="auto"/>
        </w:rPr>
        <w:t>ti</w:t>
      </w:r>
      <w:r>
        <w:rPr>
          <w:color w:val="auto"/>
        </w:rPr>
        <w:t>dades dos Estados, do Distrito Federal ou de Municípios dis</w:t>
      </w:r>
      <w:r>
        <w:rPr>
          <w:rFonts w:eastAsia="Arial"/>
          <w:color w:val="auto"/>
        </w:rPr>
        <w:t>ti</w:t>
      </w:r>
      <w:r>
        <w:rPr>
          <w:color w:val="auto"/>
        </w:rPr>
        <w:t>ntos, caberá ao fornecedor beneficiário da ata de registro de preços, observadas as condições nela estabelecidas, optar pela aceitação ou não do fornecimento decorrente do remanejamento dos itens.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da compra centralizada, não havendo indicação pelo órgão ou pela en</w:t>
      </w:r>
      <w:r>
        <w:rPr>
          <w:rFonts w:eastAsia="Arial"/>
          <w:color w:val="auto"/>
        </w:rPr>
        <w:t>ti</w:t>
      </w:r>
      <w:r>
        <w:rPr>
          <w:color w:val="auto"/>
        </w:rPr>
        <w:t>dade gerenciadora, dos quan</w:t>
      </w:r>
      <w:r>
        <w:rPr>
          <w:rFonts w:eastAsia="Arial"/>
          <w:color w:val="auto"/>
        </w:rPr>
        <w:t>ti</w:t>
      </w:r>
      <w:r>
        <w:rPr>
          <w:color w:val="auto"/>
        </w:rPr>
        <w:t>ta</w:t>
      </w:r>
      <w:r>
        <w:rPr>
          <w:rFonts w:eastAsia="Arial"/>
          <w:color w:val="auto"/>
        </w:rPr>
        <w:t>ti</w:t>
      </w:r>
      <w:r>
        <w:rPr>
          <w:color w:val="auto"/>
        </w:rPr>
        <w:t>vos dos par</w:t>
      </w:r>
      <w:r>
        <w:rPr>
          <w:rFonts w:eastAsia="Arial"/>
          <w:color w:val="auto"/>
        </w:rPr>
        <w:t>ti</w:t>
      </w:r>
      <w:r>
        <w:rPr>
          <w:color w:val="auto"/>
        </w:rPr>
        <w:t xml:space="preserve">cipantes da compra centralizada, nos termos do item </w:t>
      </w:r>
      <w:r>
        <w:rPr>
          <w:color w:val="auto"/>
        </w:rPr>
        <w:fldChar w:fldCharType="begin"/>
      </w:r>
      <w:r>
        <w:rPr>
          <w:color w:val="auto"/>
        </w:rPr>
        <w:instrText> REF gerenciador_estimador_é_partic_em_remane \r \h </w:instrText>
      </w:r>
      <w:r>
        <w:rPr>
          <w:color w:val="auto"/>
        </w:rPr>
        <w:fldChar w:fldCharType="separate"/>
      </w:r>
      <w:r>
        <w:rPr>
          <w:color w:val="auto"/>
        </w:rPr>
        <w:t>8.3.</w:t>
      </w:r>
      <w:r>
        <w:rPr>
          <w:color w:val="auto"/>
        </w:rPr>
        <w:fldChar w:fldCharType="end"/>
      </w:r>
      <w:r>
        <w:rPr>
          <w:color w:val="auto"/>
        </w:rPr>
        <w:t>, a distribuição das quantidades para a execução descentralizada será por meio do remanejamento.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>
          <w:iCs/>
        </w:rPr>
      </w:pPr>
      <w:r>
        <w:rPr/>
        <w:t>CANCELAMENTO DO REGISTRO DO LICITANTE VENCEDOR E DOS PREÇOS REGISTRADOS</w:t>
      </w:r>
      <w:bookmarkStart w:id="5" w:name="cancelamento"/>
      <w:bookmarkEnd w:id="5"/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registro do fornecedor será cancelado pelo gerenciador, quando o fornecedor:</w:t>
      </w:r>
      <w:bookmarkStart w:id="6" w:name="cancelamento_do_fornecedor"/>
      <w:bookmarkEnd w:id="6"/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Descumprir as condições da ata de registro de preços, sem motivo justificado;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Não re</w:t>
      </w:r>
      <w:r>
        <w:rPr>
          <w:rFonts w:eastAsia="Arial"/>
          <w:color w:val="auto"/>
        </w:rPr>
        <w:t>ti</w:t>
      </w:r>
      <w:r>
        <w:rPr>
          <w:color w:val="auto"/>
        </w:rPr>
        <w:t>rar a nota de empenho, ou instrumento equivalente, no prazo estabelecido pela Administração sem justificativa razoável;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Não aceitar manter seu preço registrado, na hipótese prevista no artigo 27, § 2º, do Decreto nº 11.462, de 2023; ou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>Sofrer sanção prevista nos incisos III ou IV do caput do art. 156 da Lei nº 14.133, de 2021.</w:t>
      </w:r>
    </w:p>
    <w:p>
      <w:pPr>
        <w:pStyle w:val="Nvel4"/>
        <w:numPr>
          <w:ilvl w:val="3"/>
          <w:numId w:val="4"/>
        </w:numPr>
        <w:ind w:left="567" w:hanging="0"/>
        <w:rPr>
          <w:color w:val="auto"/>
        </w:rPr>
      </w:pPr>
      <w:r>
        <w:rPr>
          <w:color w:val="auto"/>
        </w:rPr>
        <w:t>Na hipótese de aplicação de sanção prevista nos incisos III ou IV do caput do art. 156 da Lei nº 14.133, de 2021, caso a penalidade aplicada ao fornecedor não ultrapasse o prazo de vigência da ata de registro de preços, poderá o órgão ou a entidade gerenciadora poderá, mediante decisão fundamentada, decidir pela manutenção do registro de preços, vedadas contratações derivadas da ata enquanto perdurarem os efeitos da sanção.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 </w:t>
      </w:r>
      <w:r>
        <w:rPr>
          <w:color w:val="auto"/>
        </w:rPr>
        <w:t xml:space="preserve">O cancelamento de registros nas hipóteses previstas no item </w:t>
      </w:r>
      <w:r>
        <w:rPr>
          <w:color w:val="auto"/>
        </w:rPr>
        <w:fldChar w:fldCharType="begin"/>
      </w:r>
      <w:r>
        <w:rPr>
          <w:color w:val="auto"/>
        </w:rPr>
        <w:instrText> REF cancelamento_do_fornecedor \r \h </w:instrText>
      </w:r>
      <w:r>
        <w:rPr>
          <w:color w:val="auto"/>
        </w:rPr>
        <w:fldChar w:fldCharType="separate"/>
      </w:r>
      <w:r>
        <w:rPr>
          <w:color w:val="auto"/>
        </w:rPr>
        <w:t>9.1.</w:t>
      </w:r>
      <w:r>
        <w:rPr>
          <w:color w:val="auto"/>
        </w:rPr>
        <w:fldChar w:fldCharType="end"/>
      </w:r>
      <w:r>
        <w:rPr>
          <w:color w:val="auto"/>
        </w:rPr>
        <w:t xml:space="preserve"> será formalizado por despacho do órgão ou da entidade gerenciadora, garantidos os princípios do contraditório e da ampla defesa.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Na hipótese de cancelamento do registro do fornecedor, o órgão ou a entidade gerenciadora poderá convocar os licitantes que compõem o cadastro de reserva, observada a ordem de classificação.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cancelamento dos preços registrados poderá ser realizado pelo gerenciador, em determinada ata de registro de preços, total ou parcialmente, nas seguintes hipóteses, desde que devidamente comprovadas e justificadas:</w:t>
      </w:r>
      <w:bookmarkStart w:id="7" w:name="cancelamento_da_ata"/>
      <w:bookmarkEnd w:id="7"/>
      <w:r>
        <w:rPr>
          <w:color w:val="auto"/>
        </w:rPr>
        <w:t xml:space="preserve"> 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Por razão de interesse público;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>A pedido do fornecedor, decorrente de caso fortuito ou força maior; ou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Se não houver êxito nas negociações, nas hipóteses em que o preço de mercado tornar-se superior ou inferior ao preço registrado, nos termos do artigos 26, § 3º e  27, § 4º, ambos do Decreto nº 11.462, de 2023. 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DAS PENALIDADES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O descumprimento da Ata de Registro de Preços ensejará aplicação das penalidades estabelecidas </w:t>
      </w:r>
      <w:r>
        <w:rPr>
          <w:i/>
          <w:color w:val="auto"/>
        </w:rPr>
        <w:t>no edital.</w:t>
      </w:r>
    </w:p>
    <w:p>
      <w:pPr>
        <w:pStyle w:val="Nvel3"/>
        <w:numPr>
          <w:ilvl w:val="2"/>
          <w:numId w:val="4"/>
        </w:numPr>
        <w:ind w:left="284" w:hanging="0"/>
        <w:rPr>
          <w:color w:val="auto"/>
        </w:rPr>
      </w:pPr>
      <w:r>
        <w:rPr>
          <w:color w:val="auto"/>
        </w:rPr>
        <w:t xml:space="preserve">As sanções também se aplicam aos integrantes do cadastro de reserva no registro de preços que, convocados, não honrarem o compromisso assumido injustificadamente após terem assinado a ata. 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É da competência do gerenciador a aplicação das penalidades decorrentes do descumprimento do pactuado nesta ata de registro de preço (art. 7º, inc. XIV, do Decreto nº 11.462, de 2023), exceto nas hipóteses em que o descumprimento disser respeito às contratações dos órgãos ou entidade participante, caso no qual caberá ao respectivo órgão participante a aplicação da penalidade (art. 8º, inc. IX, do Decreto nº 11.462, de 2023).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>O órgão ou entidade participante deverá comunicar ao órgão gerenciador qualquer das ocorrências previstas no item 9.1, dada a necessidade de instauração de procedimento para cancelamento do registro do fornecedor.</w:t>
      </w:r>
    </w:p>
    <w:p>
      <w:pPr>
        <w:pStyle w:val="Nivel01"/>
        <w:numPr>
          <w:ilvl w:val="0"/>
          <w:numId w:val="4"/>
        </w:numPr>
        <w:spacing w:lineRule="auto" w:line="276" w:before="120" w:after="120"/>
        <w:ind w:left="0" w:hanging="0"/>
        <w:rPr/>
      </w:pPr>
      <w:r>
        <w:rPr/>
        <w:t>CONDIÇÕES GERAIS</w:t>
      </w:r>
    </w:p>
    <w:p>
      <w:pPr>
        <w:pStyle w:val="Nivel2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  <w:t xml:space="preserve">As condições gerais de execução do objeto, tais como os prazos para entrega e recebimento, as obrigações da Administração e do fornecedor registrado, penalidades e demais condições do ajuste, encontram-se definidos no Termo de Referência, ANEXO </w:t>
      </w:r>
      <w:r>
        <w:rPr>
          <w:i/>
          <w:color w:val="auto"/>
        </w:rPr>
        <w:t>AO EDITAL</w:t>
      </w:r>
      <w:r>
        <w:rPr>
          <w:color w:val="auto"/>
        </w:rPr>
        <w:t>.</w:t>
      </w:r>
    </w:p>
    <w:p>
      <w:pPr>
        <w:pStyle w:val="Nvel2Red"/>
        <w:numPr>
          <w:ilvl w:val="1"/>
          <w:numId w:val="4"/>
        </w:numPr>
        <w:ind w:left="0" w:hanging="0"/>
        <w:rPr>
          <w:color w:val="auto"/>
        </w:rPr>
      </w:pPr>
      <w:r>
        <w:rPr/>
        <w:t>No caso de adjudicação por preço global de grupo de itens, só será admitida a contratação de parte de itens do grupo se houver prévia pesquisa de mercado e demonstração de sua vantagem para o órgão ou a entidade</w:t>
      </w:r>
      <w:r>
        <w:rPr>
          <w:color w:val="auto"/>
        </w:rPr>
        <w:t>.</w:t>
      </w:r>
    </w:p>
    <w:p>
      <w:pPr>
        <w:pStyle w:val="Nvel2Red"/>
        <w:numPr>
          <w:ilvl w:val="1"/>
          <w:numId w:val="4"/>
        </w:numPr>
        <w:ind w:left="0" w:hanging="0"/>
        <w:rPr>
          <w:color w:val="auto"/>
        </w:rPr>
      </w:pPr>
      <w:r>
        <w:rPr>
          <w:color w:val="auto"/>
        </w:rPr>
      </w:r>
    </w:p>
    <w:p>
      <w:pPr>
        <w:pStyle w:val="Normal"/>
        <w:widowControl w:val="false"/>
        <w:spacing w:lineRule="auto" w:line="276" w:before="120" w:after="120"/>
        <w:jc w:val="both"/>
        <w:rPr>
          <w:rFonts w:ascii="Arial" w:hAnsi="Arial" w:cs="Arial"/>
          <w:i/>
          <w:i/>
          <w:i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Para firmeza e validade do pactuado, a presente Ata foi lavrada em 2 (duas) vias de igual teor, que, depois de lida e achada em ordem, vai assinada pelas partes </w:t>
      </w:r>
      <w:r>
        <w:rPr>
          <w:rFonts w:cs="Arial" w:ascii="Arial" w:hAnsi="Arial"/>
          <w:i/>
          <w:iCs/>
          <w:color w:val="FF0000"/>
          <w:sz w:val="20"/>
          <w:szCs w:val="20"/>
        </w:rPr>
        <w:t>e encaminhada cópia aos demais órgãos participantes (se houver)</w:t>
      </w:r>
      <w:r>
        <w:rPr>
          <w:rFonts w:cs="Arial" w:ascii="Arial" w:hAnsi="Arial"/>
          <w:i/>
          <w:iCs/>
          <w:sz w:val="20"/>
          <w:szCs w:val="20"/>
        </w:rPr>
        <w:t xml:space="preserve">. </w:t>
      </w:r>
    </w:p>
    <w:p>
      <w:pPr>
        <w:pStyle w:val="Normal"/>
        <w:widowControl w:val="false"/>
        <w:spacing w:lineRule="auto" w:line="276" w:before="120" w:after="120"/>
        <w:jc w:val="both"/>
        <w:rPr>
          <w:rFonts w:ascii="Arial" w:hAnsi="Arial" w:cs="Arial"/>
          <w:i/>
          <w:i/>
          <w:iCs/>
          <w:color w:val="FF0000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</w:rPr>
      </w:r>
    </w:p>
    <w:p>
      <w:pPr>
        <w:pStyle w:val="Normal"/>
        <w:widowControl w:val="false"/>
        <w:spacing w:lineRule="auto" w:line="276" w:before="120" w:after="120"/>
        <w:jc w:val="both"/>
        <w:rPr>
          <w:rFonts w:ascii="Arial" w:hAnsi="Arial" w:cs="Arial"/>
          <w:i/>
          <w:i/>
          <w:iCs/>
          <w:color w:val="FF0000"/>
          <w:sz w:val="20"/>
          <w:szCs w:val="20"/>
        </w:rPr>
      </w:pPr>
      <w:r>
        <w:rPr>
          <w:rFonts w:cs="Arial" w:ascii="Arial" w:hAnsi="Arial"/>
          <w:i/>
          <w:iCs/>
          <w:color w:val="FF0000"/>
          <w:sz w:val="20"/>
          <w:szCs w:val="20"/>
        </w:rPr>
      </w:r>
    </w:p>
    <w:p>
      <w:pPr>
        <w:pStyle w:val="Normal"/>
        <w:spacing w:before="0" w:after="360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Município de </w:t>
      </w:r>
      <w:r>
        <w:rPr>
          <w:rFonts w:eastAsia="Calibri" w:cs="Arial" w:ascii="Arial" w:hAnsi="Arial"/>
          <w:b/>
          <w:sz w:val="20"/>
          <w:szCs w:val="20"/>
        </w:rPr>
        <w:t>Salvador</w:t>
      </w:r>
      <w:r>
        <w:rPr>
          <w:rFonts w:eastAsia="Calibri" w:cs="Arial" w:ascii="Arial" w:hAnsi="Arial"/>
          <w:sz w:val="20"/>
          <w:szCs w:val="20"/>
        </w:rPr>
        <w:t xml:space="preserve">, </w:t>
      </w:r>
      <w:r>
        <w:rPr>
          <w:rFonts w:eastAsia="Calibri" w:cs="Arial" w:ascii="Arial" w:hAnsi="Arial"/>
          <w:b/>
          <w:sz w:val="20"/>
          <w:szCs w:val="20"/>
        </w:rPr>
        <w:t xml:space="preserve">XX </w:t>
      </w:r>
      <w:r>
        <w:rPr>
          <w:rFonts w:eastAsia="Calibri" w:cs="Arial" w:ascii="Arial" w:hAnsi="Arial"/>
          <w:sz w:val="20"/>
          <w:szCs w:val="20"/>
        </w:rPr>
        <w:t xml:space="preserve">de </w:t>
      </w:r>
      <w:r>
        <w:rPr>
          <w:rFonts w:eastAsia="Calibri" w:cs="Arial" w:ascii="Arial" w:hAnsi="Arial"/>
          <w:b/>
          <w:sz w:val="20"/>
          <w:szCs w:val="20"/>
        </w:rPr>
        <w:t xml:space="preserve">XXXXXXX </w:t>
      </w:r>
      <w:r>
        <w:rPr>
          <w:rFonts w:eastAsia="Calibri" w:cs="Arial" w:ascii="Arial" w:hAnsi="Arial"/>
          <w:sz w:val="20"/>
          <w:szCs w:val="20"/>
        </w:rPr>
        <w:t xml:space="preserve">de </w:t>
      </w:r>
      <w:r>
        <w:rPr>
          <w:rFonts w:eastAsia="Calibri" w:cs="Arial" w:ascii="Arial" w:hAnsi="Arial"/>
          <w:b/>
          <w:sz w:val="20"/>
          <w:szCs w:val="20"/>
        </w:rPr>
        <w:t>202</w:t>
      </w:r>
      <w:r>
        <w:rPr>
          <w:rFonts w:eastAsia="Calibri" w:cs="Arial" w:ascii="Arial" w:hAnsi="Arial"/>
          <w:b/>
          <w:sz w:val="20"/>
          <w:szCs w:val="20"/>
          <w:lang w:eastAsia="pt-BR"/>
        </w:rPr>
        <w:t>4</w:t>
      </w:r>
      <w:r>
        <w:rPr>
          <w:rFonts w:eastAsia="Calibri" w:cs="Arial" w:ascii="Arial" w:hAnsi="Arial"/>
          <w:sz w:val="20"/>
          <w:szCs w:val="20"/>
        </w:rPr>
        <w:t>.</w:t>
      </w:r>
    </w:p>
    <w:p>
      <w:pPr>
        <w:pStyle w:val="Normal"/>
        <w:spacing w:before="0" w:after="360"/>
        <w:jc w:val="both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jc w:val="both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  <w:t xml:space="preserve">__________________________________________________________ 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  <w:t>Elieide Santos Orrico – COORDENADORA DE MATERIAL E PATRIMÔNIO/UFBA</w:t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</w:tabs>
        <w:spacing w:before="0" w:after="120"/>
        <w:ind w:right="-21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</w:r>
    </w:p>
    <w:p>
      <w:pPr>
        <w:pStyle w:val="Normal"/>
        <w:keepLines/>
        <w:tabs>
          <w:tab w:val="clear" w:pos="708"/>
          <w:tab w:val="left" w:pos="0" w:leader="none"/>
          <w:tab w:val="left" w:pos="3119" w:leader="none"/>
        </w:tabs>
        <w:spacing w:before="0" w:after="120"/>
        <w:jc w:val="both"/>
        <w:rPr>
          <w:rFonts w:ascii="Arial" w:hAnsi="Arial" w:eastAsia="Calibri" w:cs="Arial"/>
          <w:b/>
          <w:b/>
          <w:color w:val="000000"/>
          <w:sz w:val="20"/>
          <w:szCs w:val="20"/>
        </w:rPr>
      </w:pPr>
      <w:r>
        <w:rPr>
          <w:rFonts w:eastAsia="Calibri" w:cs="Arial" w:ascii="Arial" w:hAnsi="Arial"/>
          <w:b/>
          <w:color w:val="000000"/>
          <w:sz w:val="20"/>
          <w:szCs w:val="20"/>
        </w:rPr>
        <w:t>__________________________________________________________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b/>
          <w:sz w:val="20"/>
          <w:szCs w:val="20"/>
        </w:rPr>
        <w:t>xxxxxxxxxx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b/>
          <w:sz w:val="20"/>
          <w:szCs w:val="20"/>
        </w:rPr>
        <w:t>- XXXXXXXXXXXXXXXXXXXXXXX</w:t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  <w:bookmarkStart w:id="8" w:name="_GoBack"/>
      <w:bookmarkStart w:id="9" w:name="_GoBack"/>
      <w:bookmarkEnd w:id="9"/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Anexo</w:t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Cadastro Reserva</w:t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Seguindo a ordem de classificação, segue relação de fornecedores que aceitaram cotar os itens com preços iguais ao adjudicatário:</w:t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tbl>
      <w:tblPr>
        <w:tblW w:w="9392" w:type="dxa"/>
        <w:jc w:val="left"/>
        <w:tblInd w:w="2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496"/>
        <w:gridCol w:w="1333"/>
        <w:gridCol w:w="1254"/>
        <w:gridCol w:w="1540"/>
        <w:gridCol w:w="1122"/>
        <w:gridCol w:w="1120"/>
        <w:gridCol w:w="842"/>
        <w:gridCol w:w="840"/>
        <w:gridCol w:w="844"/>
      </w:tblGrid>
      <w:tr>
        <w:trPr>
          <w:trHeight w:val="511" w:hRule="atLeast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Item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Fornecedor </w:t>
            </w:r>
            <w:r>
              <w:rPr>
                <w:rFonts w:cs="Arial" w:ascii="Arial" w:hAnsi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674" w:hRule="atLeast"/>
        </w:trPr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Especificação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 xml:space="preserve">Marca 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Modelo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Unidade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QuantidadeMáxima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 Mínima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>
        <w:trPr>
          <w:trHeight w:val="174" w:hRule="atLeast"/>
        </w:trPr>
        <w:tc>
          <w:tcPr>
            <w:tcW w:w="4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3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Seguindo a ordem de classificação, segue relação de fornecedores que mantiveram sua proposta original:</w:t>
      </w:r>
    </w:p>
    <w:p>
      <w:pPr>
        <w:pStyle w:val="Normal"/>
        <w:widowControl w:val="false"/>
        <w:spacing w:lineRule="auto" w:line="360"/>
        <w:ind w:right="-30" w:hang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tbl>
      <w:tblPr>
        <w:tblW w:w="9392" w:type="dxa"/>
        <w:jc w:val="left"/>
        <w:tblInd w:w="2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695"/>
        <w:gridCol w:w="1134"/>
        <w:gridCol w:w="1254"/>
        <w:gridCol w:w="1540"/>
        <w:gridCol w:w="1122"/>
        <w:gridCol w:w="1120"/>
        <w:gridCol w:w="842"/>
        <w:gridCol w:w="840"/>
        <w:gridCol w:w="844"/>
      </w:tblGrid>
      <w:tr>
        <w:trPr>
          <w:trHeight w:val="511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Item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TR</w:t>
            </w:r>
          </w:p>
        </w:tc>
        <w:tc>
          <w:tcPr>
            <w:tcW w:w="869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Fornecedor </w:t>
            </w:r>
            <w:r>
              <w:rPr>
                <w:rFonts w:cs="Arial" w:ascii="Arial" w:hAnsi="Arial"/>
                <w:i/>
                <w:color w:val="FF0000"/>
                <w:sz w:val="20"/>
                <w:szCs w:val="20"/>
              </w:rPr>
              <w:t>(razão social, CNPJ/MF, endereço, contatos, representante)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674" w:hRule="atLeast"/>
        </w:trPr>
        <w:tc>
          <w:tcPr>
            <w:tcW w:w="6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Especificação</w:t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 xml:space="preserve">Marca 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Modelo</w:t>
            </w:r>
          </w:p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Unidade</w:t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QuantidadeMáxima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Quantidade Mínima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Valor Un</w:t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>
        <w:trPr>
          <w:trHeight w:val="174" w:hRule="atLeast"/>
        </w:trPr>
        <w:tc>
          <w:tcPr>
            <w:tcW w:w="6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/>
              <w:ind w:right="-30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312" w:before="120" w:after="288"/>
        <w:ind w:left="360" w:hanging="0"/>
        <w:jc w:val="center"/>
        <w:rPr>
          <w:rFonts w:ascii="Arial Narrow" w:hAnsi="Arial Narrow" w:cs="Arial"/>
          <w:sz w:val="21"/>
          <w:szCs w:val="21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418" w:footer="623" w:bottom="1418"/>
      <w:pgNumType w:fmt="decimal"/>
      <w:formProt w:val="false"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Autor" w:date="0-00-00T00:00:00Z" w:initials="A">
    <w:p>
      <w:r>
        <w:rPr>
          <w:rFonts w:ascii="Liberation Serif" w:hAnsi="Liberation Serif" w:eastAsia="Segoe UI"/>
          <w:b/>
          <w:lang w:val="en-US" w:eastAsia="en-US" w:bidi="en-US"/>
        </w:rPr>
        <w:t>Nota Explicativa</w:t>
      </w:r>
      <w:r>
        <w:rPr>
          <w:rFonts w:ascii="Liberation Serif" w:hAnsi="Liberation Serif" w:eastAsia="Segoe UI"/>
          <w:lang w:val="en-US" w:eastAsia="en-US" w:bidi="en-US"/>
        </w:rPr>
        <w:t xml:space="preserve">: A possibilidade de vedação de adesão existe, por exemplo, na hipótese do parágrafo único do art. 4º do Decreto: </w:t>
      </w:r>
    </w:p>
    <w:p>
      <w:r>
        <w:rPr>
          <w:rFonts w:ascii="Liberation Serif" w:hAnsi="Liberation Serif" w:eastAsia="Segoe UI"/>
          <w:lang w:val="en-US" w:eastAsia="en-US" w:bidi="en-US"/>
        </w:rPr>
        <w:t>"Art. 4º  É permitido o registro de preços com indicação limitada a unidades de contratação, sem indicação do total a ser adquirido, apenas nas seguintes situações:</w:t>
      </w:r>
    </w:p>
    <w:p>
      <w:r>
        <w:rPr>
          <w:rFonts w:ascii="Liberation Serif" w:hAnsi="Liberation Serif" w:eastAsia="Segoe UI"/>
          <w:lang w:val="en-US" w:eastAsia="en-US" w:bidi="en-US"/>
        </w:rPr>
        <w:t>I - quando for a primeira licitação ou contratação direta para o objeto e o órgão ou a entidade não tiver registro de demandas anteriores;</w:t>
      </w:r>
    </w:p>
    <w:p>
      <w:r>
        <w:rPr>
          <w:rFonts w:ascii="Liberation Serif" w:hAnsi="Liberation Serif" w:eastAsia="Segoe UI"/>
          <w:lang w:val="en-US" w:eastAsia="en-US" w:bidi="en-US"/>
        </w:rPr>
        <w:t>II - no caso de alimento perecível; ou</w:t>
      </w:r>
    </w:p>
    <w:p>
      <w:r>
        <w:rPr>
          <w:rFonts w:ascii="Liberation Serif" w:hAnsi="Liberation Serif" w:eastAsia="Segoe UI"/>
          <w:lang w:val="en-US" w:eastAsia="en-US" w:bidi="en-US"/>
        </w:rPr>
        <w:t>III - no caso em que o serviço estiver integrado ao fornecimento de bens.</w:t>
      </w:r>
    </w:p>
    <w:p>
      <w:r>
        <w:rPr>
          <w:rFonts w:ascii="Liberation Serif" w:hAnsi="Liberation Serif" w:eastAsia="Segoe UI"/>
          <w:lang w:val="en-US" w:eastAsia="en-US" w:bidi="en-US"/>
        </w:rPr>
        <w:t>Parágrafo único.  Nas situações referidas no caput, é obrigatória a indicação do valor máximo da despesa e é vedada a participação de outro órgão ou entidade na ata."</w:t>
      </w:r>
    </w:p>
    <w:p>
      <w:r>
        <w:rPr>
          <w:rFonts w:ascii="Liberation Serif" w:hAnsi="Liberation Serif" w:eastAsia="Segoe UI"/>
          <w:lang w:val="en-US" w:eastAsia="en-US" w:bidi="en-US"/>
        </w:rPr>
      </w:r>
    </w:p>
    <w:p>
      <w:r>
        <w:rPr>
          <w:rFonts w:ascii="Liberation Serif" w:hAnsi="Liberation Serif" w:eastAsia="Segoe UI"/>
          <w:lang w:val="en-US" w:eastAsia="en-US" w:bidi="en-US"/>
        </w:rPr>
        <w:t>Além disso, em razão da capacidade de gerenciamento do gerenciador, ele pode negar adesões posteriores, conforme art. 7º, I e XI, do Decreto: "Art. 7º  Compete ao órgão ou à entidade gerenciadora praticar todos os atos de controle e de administração do SRP, em especial:</w:t>
      </w:r>
    </w:p>
    <w:p>
      <w:r>
        <w:rPr>
          <w:rFonts w:ascii="Liberation Serif" w:hAnsi="Liberation Serif" w:eastAsia="Segoe UI"/>
          <w:lang w:val="en-US" w:eastAsia="en-US" w:bidi="en-US"/>
        </w:rPr>
        <w:t>I - realizar procedimento público de intenção de registro de preços - IRP e, quando for o caso, estabelecer o número máximo de participantes, em conformidade com sua capacidade de gerenciamento;</w:t>
      </w:r>
    </w:p>
    <w:p>
      <w:r>
        <w:rPr>
          <w:rFonts w:ascii="Liberation Serif" w:hAnsi="Liberation Serif" w:eastAsia="Segoe UI"/>
          <w:lang w:val="en-US" w:eastAsia="en-US" w:bidi="en-US"/>
        </w:rPr>
        <w:t>[...]</w:t>
      </w:r>
    </w:p>
    <w:p>
      <w:r>
        <w:rPr>
          <w:rFonts w:ascii="Liberation Serif" w:hAnsi="Liberation Serif" w:eastAsia="Segoe UI"/>
          <w:lang w:val="en-US" w:eastAsia="en-US" w:bidi="en-US"/>
        </w:rPr>
        <w:t>XI - deliberar quanto à adesão posterior de órgãos e entidades que não tenham manifestado interesse durante o período de divulgação da IRP;"</w:t>
      </w:r>
    </w:p>
    <w:p>
      <w:r>
        <w:rPr>
          <w:rFonts w:ascii="Liberation Serif" w:hAnsi="Liberation Serif" w:eastAsia="Segoe UI"/>
          <w:lang w:val="en-US" w:eastAsia="en-US" w:bidi="en-US"/>
        </w:rPr>
      </w:r>
    </w:p>
    <w:p>
      <w:r>
        <w:rPr>
          <w:rFonts w:ascii="Liberation Serif" w:hAnsi="Liberation Serif" w:eastAsia="Segoe UI"/>
          <w:lang w:val="en-US" w:eastAsia="en-US" w:bidi="en-US"/>
        </w:rPr>
        <w:t>Assim, desde que devidamente justificado nos Estudos Técnicos Preliminares, poderá ser vedada a adesão, de forma prévia, a órgãos não-participantes.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MT">
    <w:charset w:val="00"/>
    <w:family w:val="roman"/>
    <w:pitch w:val="variable"/>
  </w:font>
  <w:font w:name="Arial">
    <w:charset w:val="01"/>
    <w:family w:val="swiss"/>
    <w:pitch w:val="variable"/>
  </w:font>
  <w:font w:name="Arial-BoldMT">
    <w:charset w:val="00"/>
    <w:family w:val="roman"/>
    <w:pitch w:val="variable"/>
  </w:font>
  <w:font w:name="Arial Narrow">
    <w:charset w:val="00"/>
    <w:family w:val="roman"/>
    <w:pitch w:val="variable"/>
  </w:font>
  <w:font w:name="Amiri Quran"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03883588"/>
    </w:sdtPr>
    <w:sdtContent>
      <w:p>
        <w:pPr>
          <w:pStyle w:val="Rodap"/>
          <w:rPr>
            <w:color w:val="548DD4" w:themeColor="text2" w:themeTint="99"/>
            <w:spacing w:val="60"/>
            <w:sz w:val="16"/>
            <w:szCs w:val="16"/>
          </w:rPr>
        </w:pPr>
        <w:r>
          <w:rPr>
            <w:color w:val="548DD4" w:themeColor="text2" w:themeTint="99"/>
            <w:spacing w:val="60"/>
            <w:sz w:val="22"/>
            <w:szCs w:val="22"/>
          </w:rPr>
          <w:tab/>
          <w:tab/>
        </w:r>
      </w:p>
      <w:p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>
          <w:rPr>
            <w:color w:val="7F7F7F" w:themeColor="text1" w:themeTint="80"/>
            <w:spacing w:val="60"/>
            <w:sz w:val="22"/>
            <w:szCs w:val="22"/>
          </w:rPr>
          <w:tab/>
          <w:tab/>
        </w:r>
        <w:r>
          <w:rPr>
            <w:rFonts w:cs="Arial" w:ascii="Arial" w:hAnsi="Arial"/>
            <w:color w:val="595959" w:themeColor="text1" w:themeTint="a6"/>
            <w:spacing w:val="60"/>
            <w:sz w:val="18"/>
            <w:szCs w:val="18"/>
          </w:rPr>
          <w:t>Página</w:t>
        </w:r>
        <w:r>
          <w:rPr>
            <w:rFonts w:cs="Arial" w:ascii="Arial" w:hAnsi="Arial"/>
            <w:color w:val="595959" w:themeColor="text1" w:themeTint="a6"/>
            <w:sz w:val="18"/>
            <w:szCs w:val="18"/>
          </w:rPr>
          <w:t xml:space="preserve"> </w:t>
        </w:r>
        <w:r>
          <w:rPr>
            <w:rFonts w:cs="Arial" w:ascii="Arial" w:hAnsi="Arial"/>
            <w:color w:val="595959" w:themeColor="text1" w:themeTint="a6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  <w:color w:val="595959"/>
          </w:rPr>
          <w:instrText> PAGE </w:instrText>
        </w:r>
        <w:r>
          <w:rPr>
            <w:sz w:val="18"/>
            <w:szCs w:val="18"/>
            <w:rFonts w:cs="Arial" w:ascii="Arial" w:hAnsi="Arial"/>
            <w:color w:val="595959"/>
          </w:rPr>
          <w:fldChar w:fldCharType="separate"/>
        </w:r>
        <w:r>
          <w:rPr>
            <w:sz w:val="18"/>
            <w:szCs w:val="18"/>
            <w:rFonts w:cs="Arial" w:ascii="Arial" w:hAnsi="Arial"/>
            <w:color w:val="595959"/>
          </w:rPr>
          <w:t>9</w:t>
        </w:r>
        <w:r>
          <w:rPr>
            <w:sz w:val="18"/>
            <w:szCs w:val="18"/>
            <w:rFonts w:cs="Arial" w:ascii="Arial" w:hAnsi="Arial"/>
            <w:color w:val="595959"/>
          </w:rPr>
          <w:fldChar w:fldCharType="end"/>
        </w:r>
        <w:r>
          <w:rPr>
            <w:rFonts w:cs="Arial" w:ascii="Arial" w:hAnsi="Arial"/>
            <w:color w:val="595959" w:themeColor="text1" w:themeTint="a6"/>
            <w:sz w:val="18"/>
            <w:szCs w:val="18"/>
          </w:rPr>
          <w:t xml:space="preserve"> | </w:t>
        </w:r>
        <w:r>
          <w:rPr>
            <w:rFonts w:cs="Arial" w:ascii="Arial" w:hAnsi="Arial"/>
            <w:color w:val="595959" w:themeColor="text1" w:themeTint="a6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  <w:color w:val="595959"/>
          </w:rPr>
          <w:instrText> NUMPAGES \* ARABIC </w:instrText>
        </w:r>
        <w:r>
          <w:rPr>
            <w:sz w:val="18"/>
            <w:szCs w:val="18"/>
            <w:rFonts w:cs="Arial" w:ascii="Arial" w:hAnsi="Arial"/>
            <w:color w:val="595959"/>
          </w:rPr>
          <w:fldChar w:fldCharType="separate"/>
        </w:r>
        <w:r>
          <w:rPr>
            <w:sz w:val="18"/>
            <w:szCs w:val="18"/>
            <w:rFonts w:cs="Arial" w:ascii="Arial" w:hAnsi="Arial"/>
            <w:color w:val="595959"/>
          </w:rPr>
          <w:t>9</w:t>
        </w:r>
        <w:r>
          <w:rPr>
            <w:sz w:val="18"/>
            <w:szCs w:val="18"/>
            <w:rFonts w:cs="Arial" w:ascii="Arial" w:hAnsi="Arial"/>
            <w:color w:val="595959"/>
          </w:rPr>
          <w:fldChar w:fldCharType="end"/>
        </w:r>
      </w:p>
      <w:p>
        <w:pPr>
          <w:pStyle w:val="Normal"/>
          <w:spacing w:before="240" w:after="240"/>
          <w:ind w:firstLine="567"/>
          <w:jc w:val="center"/>
          <w:rPr>
            <w:rFonts w:ascii="Arial" w:hAnsi="Arial"/>
            <w:b w:val="false"/>
            <w:b w:val="false"/>
            <w:bCs w:val="false"/>
            <w:sz w:val="18"/>
            <w:szCs w:val="18"/>
          </w:rPr>
        </w:pPr>
        <w:r>
          <w:rPr>
            <w:rFonts w:cs="Times New Roman" w:ascii="Arial" w:hAnsi="Arial"/>
            <w:b w:val="false"/>
            <w:bCs w:val="false"/>
            <w:color w:val="000000"/>
            <w:sz w:val="18"/>
            <w:szCs w:val="18"/>
          </w:rPr>
          <w:t xml:space="preserve">PREGÃO ELETRÔNICO SRP Nº </w:t>
        </w:r>
        <w:r>
          <w:rPr>
            <w:rFonts w:cs="Arial" w:ascii="Arial" w:hAnsi="Arial"/>
            <w:b w:val="false"/>
            <w:bCs w:val="false"/>
            <w:i w:val="false"/>
            <w:color w:val="000000"/>
            <w:sz w:val="18"/>
            <w:szCs w:val="18"/>
          </w:rPr>
          <w:t>90032/2024</w:t>
        </w:r>
        <w:r>
          <w:rPr>
            <w:rFonts w:eastAsia="Times New Roman" w:cs="Times New Roman" w:ascii="Arial" w:hAnsi="Arial"/>
            <w:b w:val="false"/>
            <w:bCs w:val="false"/>
            <w:color w:val="000000"/>
            <w:sz w:val="18"/>
            <w:szCs w:val="18"/>
          </w:rPr>
          <w:t xml:space="preserve"> - </w:t>
        </w:r>
        <w:r>
          <w:rPr>
            <w:rFonts w:cs="Times New Roman" w:ascii="Arial" w:hAnsi="Arial"/>
            <w:b w:val="false"/>
            <w:bCs w:val="false"/>
            <w:color w:val="000000"/>
            <w:sz w:val="18"/>
            <w:szCs w:val="18"/>
          </w:rPr>
          <w:t xml:space="preserve">PROCESSO ADMINISTRATIVO N° </w:t>
        </w:r>
        <w:r>
          <w:rPr>
            <w:rFonts w:cs="Times New Roman" w:ascii="Arial" w:hAnsi="Arial"/>
            <w:b w:val="false"/>
            <w:bCs w:val="false"/>
            <w:i w:val="false"/>
            <w:color w:val="000000"/>
            <w:sz w:val="18"/>
            <w:szCs w:val="18"/>
          </w:rPr>
          <w:t>23066.050933/2024-64</w:t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right"/>
      <w:rPr>
        <w:rFonts w:ascii="Amiri Quran" w:hAnsi="Amiri Quran"/>
        <w:b w:val="false"/>
        <w:b w:val="false"/>
        <w:bCs w:val="false"/>
        <w:sz w:val="20"/>
        <w:szCs w:val="20"/>
      </w:rPr>
    </w:pPr>
    <w:r>
      <w:rPr>
        <w:rFonts w:cs="Arial" w:ascii="Amiri Quran" w:hAnsi="Amiri Quran"/>
        <w:b w:val="false"/>
        <w:bCs w:val="false"/>
        <w:sz w:val="20"/>
        <w:szCs w:val="20"/>
      </w:rPr>
      <w:t xml:space="preserve">ATA DE REGISTRO DE PREÇOS – PREGÃO SRP </w:t>
    </w:r>
    <w:r>
      <w:rPr>
        <w:rFonts w:ascii="Arial" w:hAnsi="Arial"/>
        <w:b w:val="false"/>
        <w:bCs w:val="false"/>
        <w:i w:val="false"/>
        <w:color w:val="000000"/>
        <w:sz w:val="20"/>
        <w:szCs w:val="20"/>
      </w:rPr>
      <w:t>90032/2024</w:t>
    </w:r>
  </w:p>
  <w:p>
    <w:pPr>
      <w:pStyle w:val="Normal"/>
      <w:spacing w:before="288" w:after="288"/>
      <w:jc w:val="center"/>
      <w:rPr>
        <w:rFonts w:ascii="Arial" w:hAnsi="Arial"/>
        <w:b/>
        <w:b/>
        <w:bCs/>
        <w:sz w:val="18"/>
        <w:szCs w:val="18"/>
      </w:rPr>
    </w:pPr>
    <w:r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2766060</wp:posOffset>
          </wp:positionH>
          <wp:positionV relativeFrom="paragraph">
            <wp:posOffset>60960</wp:posOffset>
          </wp:positionV>
          <wp:extent cx="463550" cy="648970"/>
          <wp:effectExtent l="0" t="0" r="0" b="0"/>
          <wp:wrapNone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648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b/>
        <w:bCs/>
        <w:color w:val="000000"/>
        <w:sz w:val="18"/>
        <w:szCs w:val="18"/>
      </w:rPr>
      <w:t xml:space="preserve"> </w:t>
    </w:r>
  </w:p>
  <w:p>
    <w:pPr>
      <w:pStyle w:val="Corpodotexto"/>
      <w:spacing w:beforeAutospacing="0" w:before="0" w:afterAutospacing="0" w:after="0"/>
      <w:jc w:val="center"/>
      <w:rPr>
        <w:rFonts w:ascii="Arial" w:hAnsi="Arial" w:cs="Arial"/>
        <w:b/>
        <w:b/>
        <w:bCs/>
        <w:color w:val="000000"/>
        <w:sz w:val="18"/>
        <w:szCs w:val="18"/>
      </w:rPr>
    </w:pPr>
    <w:r>
      <w:rPr>
        <w:rFonts w:cs="Arial" w:ascii="Arial" w:hAnsi="Arial"/>
        <w:b/>
        <w:bCs/>
        <w:color w:val="000000"/>
        <w:sz w:val="18"/>
        <w:szCs w:val="18"/>
      </w:rPr>
    </w:r>
  </w:p>
  <w:p>
    <w:pPr>
      <w:pStyle w:val="Corpodotexto"/>
      <w:spacing w:beforeAutospacing="0" w:before="0" w:afterAutospacing="0" w:after="0"/>
      <w:jc w:val="center"/>
      <w:rPr>
        <w:rFonts w:ascii="Arial" w:hAnsi="Arial" w:cs="Arial"/>
        <w:b/>
        <w:b/>
        <w:bCs/>
        <w:color w:val="000000"/>
        <w:sz w:val="18"/>
        <w:szCs w:val="18"/>
      </w:rPr>
    </w:pPr>
    <w:r>
      <w:rPr>
        <w:rFonts w:cs="Arial" w:ascii="Arial" w:hAnsi="Arial"/>
        <w:b/>
        <w:bCs/>
        <w:color w:val="000000"/>
        <w:sz w:val="18"/>
        <w:szCs w:val="18"/>
      </w:rPr>
    </w:r>
  </w:p>
  <w:p>
    <w:pPr>
      <w:pStyle w:val="Corpodotexto"/>
      <w:spacing w:beforeAutospacing="0" w:before="0" w:afterAutospacing="0" w:after="0"/>
      <w:jc w:val="center"/>
      <w:rPr>
        <w:rFonts w:ascii="Arial" w:hAnsi="Arial"/>
        <w:b/>
        <w:b/>
        <w:bCs/>
        <w:sz w:val="18"/>
        <w:szCs w:val="18"/>
      </w:rPr>
    </w:pPr>
    <w:r>
      <w:rPr>
        <w:rFonts w:cs="Arial" w:ascii="Arial" w:hAnsi="Arial"/>
        <w:b/>
        <w:bCs/>
        <w:color w:val="000000"/>
        <w:sz w:val="18"/>
        <w:szCs w:val="18"/>
      </w:rPr>
      <w:t>MINISTÉRIO DA EDUCAÇÃO</w:t>
    </w:r>
  </w:p>
  <w:p>
    <w:pPr>
      <w:pStyle w:val="Corpodotexto"/>
      <w:spacing w:beforeAutospacing="0" w:before="0" w:afterAutospacing="0" w:after="0"/>
      <w:jc w:val="center"/>
      <w:rPr>
        <w:rFonts w:ascii="Arial" w:hAnsi="Arial"/>
        <w:b/>
        <w:b/>
        <w:bCs/>
        <w:color w:val="000000"/>
        <w:sz w:val="18"/>
        <w:szCs w:val="18"/>
      </w:rPr>
    </w:pPr>
    <w:r>
      <w:rPr>
        <w:rFonts w:ascii="Arial" w:hAnsi="Arial"/>
        <w:b/>
        <w:bCs/>
        <w:color w:val="000000"/>
        <w:sz w:val="18"/>
        <w:szCs w:val="18"/>
      </w:rPr>
      <w:t>UNIVERSIDADE FEDERAL DA BAHIA</w:t>
    </w:r>
  </w:p>
  <w:p>
    <w:pPr>
      <w:pStyle w:val="Corpodotexto"/>
      <w:spacing w:beforeAutospacing="0" w:before="0" w:afterAutospacing="0" w:after="0"/>
      <w:jc w:val="center"/>
      <w:rPr>
        <w:rFonts w:ascii="Arial" w:hAnsi="Arial"/>
        <w:b/>
        <w:b/>
        <w:bCs/>
        <w:color w:val="000000"/>
        <w:sz w:val="18"/>
        <w:szCs w:val="18"/>
      </w:rPr>
    </w:pPr>
    <w:r>
      <w:rPr>
        <w:rFonts w:ascii="Arial" w:hAnsi="Arial"/>
        <w:b/>
        <w:bCs/>
        <w:color w:val="000000"/>
        <w:sz w:val="18"/>
        <w:szCs w:val="18"/>
      </w:rPr>
      <w:t>PRÓ-REITORIA DE ADMINISTRAÇÃO</w:t>
    </w:r>
  </w:p>
  <w:p>
    <w:pPr>
      <w:pStyle w:val="Corpodotexto"/>
      <w:spacing w:beforeAutospacing="0" w:before="0" w:afterAutospacing="0" w:after="0"/>
      <w:jc w:val="center"/>
      <w:rPr>
        <w:rFonts w:ascii="Arial" w:hAnsi="Arial"/>
        <w:b/>
        <w:b/>
        <w:bCs/>
        <w:color w:val="000000"/>
        <w:sz w:val="18"/>
        <w:szCs w:val="18"/>
      </w:rPr>
    </w:pPr>
    <w:r>
      <w:rPr>
        <w:rFonts w:ascii="Arial" w:hAnsi="Arial"/>
        <w:b/>
        <w:bCs/>
        <w:color w:val="000000"/>
        <w:sz w:val="18"/>
        <w:szCs w:val="18"/>
      </w:rPr>
      <w:t>COORDENAÇÃO DE MATERIAL E PATRIMÔNIO</w:t>
    </w:r>
  </w:p>
  <w:p>
    <w:pPr>
      <w:pStyle w:val="Cabealho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pStyle w:val="Ttulo5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i w:val="false"/>
        <w:b/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0"/>
        <w:i w:val="false"/>
        <w:u w:val="none"/>
        <w:b w:val="false"/>
        <w:szCs w:val="2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0"/>
        <w:i w:val="false"/>
        <w:b w:val="false"/>
        <w:szCs w:val="20"/>
        <w:rFonts w:ascii="Arial" w:hAnsi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3" w:hanging="432"/>
      </w:pPr>
      <w:rPr>
        <w:sz w:val="21"/>
        <w:b w:val="false"/>
        <w:szCs w:val="21"/>
        <w:bCs w:val="false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1"/>
        <w:szCs w:val="21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ＭＳ 明朝" w:cs="Times New Roman" w:eastAsiaTheme="minorEastAsia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heading 1" w:uiPriority="9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 w:qFormat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99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39"/>
    <w:lsdException w:name="Table Theme" w:semiHidden="1" w:unhideWhenUsed="1"/>
    <w:lsdException w:name="Placeholder Text" w:uiPriority="67" w:semiHidden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 w:semiHidden="1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3333"/>
    <w:pPr>
      <w:widowControl/>
      <w:bidi w:val="0"/>
      <w:spacing w:before="0" w:after="0"/>
      <w:jc w:val="left"/>
    </w:pPr>
    <w:rPr>
      <w:rFonts w:ascii="Ecofont_Spranq_eco_Sans" w:hAnsi="Ecofont_Spranq_eco_Sans" w:cs="Tahoma" w:eastAsia="ＭＳ 明朝" w:eastAsiaTheme="minorEastAsia"/>
      <w:color w:val="auto"/>
      <w:kern w:val="0"/>
      <w:sz w:val="24"/>
      <w:szCs w:val="24"/>
      <w:lang w:eastAsia="pt-BR" w:val="pt-BR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 w:val="true"/>
      <w:keepLines/>
      <w:spacing w:before="480" w:after="0"/>
      <w:outlineLvl w:val="0"/>
    </w:pPr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2"/>
    </w:pPr>
    <w:rPr>
      <w:rFonts w:ascii="Calibri" w:hAnsi="Calibri" w:eastAsia="ＭＳ ゴシック" w:cs="Times New Roman" w:asciiTheme="majorHAnsi" w:cstheme="majorBidi" w:eastAsiaTheme="majorEastAsia" w:hAnsiTheme="majorHAns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 w:val="true"/>
      <w:keepLines/>
      <w:spacing w:before="40" w:after="0"/>
      <w:outlineLvl w:val="3"/>
    </w:pPr>
    <w:rPr>
      <w:rFonts w:ascii="Calibri" w:hAnsi="Calibri" w:eastAsia="ＭＳ ゴシック" w:cs="Times New Roman" w:asciiTheme="majorHAnsi" w:cstheme="majorBidi" w:eastAsiaTheme="majorEastAsia" w:hAnsiTheme="majorHAns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qFormat/>
    <w:rsid w:val="00e86177"/>
    <w:pPr>
      <w:keepNext w:val="true"/>
      <w:numPr>
        <w:ilvl w:val="0"/>
        <w:numId w:val="1"/>
      </w:numPr>
      <w:jc w:val="both"/>
      <w:outlineLvl w:val="0"/>
    </w:pPr>
    <w:rPr>
      <w:rFonts w:ascii="Calibri" w:hAnsi="Calibri"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5"/>
    </w:pPr>
    <w:rPr>
      <w:rFonts w:ascii="Calibri" w:hAnsi="Calibri" w:eastAsia="ＭＳ ゴシック" w:cs="Times New Roman" w:asciiTheme="majorHAnsi" w:cstheme="majorBidi" w:eastAsiaTheme="majorEastAsia" w:hAnsiTheme="majorHAnsi"/>
      <w:color w:val="243F60" w:themeColor="accent1" w:themeShade="7f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uiPriority w:val="99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 w:customStyle="1">
    <w:name w:val="Link da Internet"/>
    <w:basedOn w:val="DefaultParagraphFont"/>
    <w:uiPriority w:val="99"/>
    <w:unhideWhenUsed/>
    <w:rsid w:val="00dc41dd"/>
    <w:rPr>
      <w:color w:val="0000FF" w:themeColor="hyperlink"/>
      <w:u w:val="single"/>
    </w:rPr>
  </w:style>
  <w:style w:type="character" w:styleId="CitaoChar" w:customStyle="1">
    <w:name w:val="Citação Char"/>
    <w:link w:val="Citao"/>
    <w:qFormat/>
    <w:rsid w:val="00080b53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 w:customStyle="1">
    <w:name w:val="Nota explicativa Char"/>
    <w:basedOn w:val="CitaoChar"/>
    <w:link w:val="Notaexplicativa"/>
    <w:qFormat/>
    <w:rsid w:val="00265fb6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 w:customStyle="1">
    <w:name w:val="Cabeçalho Char"/>
    <w:link w:val="Cabealho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unhideWhenUsed/>
    <w:qFormat/>
    <w:rsid w:val="00430fdb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430fdb"/>
    <w:rPr>
      <w:rFonts w:ascii="Ecofont_Spranq_eco_Sans" w:hAnsi="Ecofont_Spranq_eco_Sans" w:cs="Tahoma"/>
      <w:b/>
      <w:bCs/>
      <w:lang w:eastAsia="pt-BR"/>
    </w:rPr>
  </w:style>
  <w:style w:type="character" w:styleId="Ttulo4Char" w:customStyle="1">
    <w:name w:val="Título 4 Char"/>
    <w:basedOn w:val="DefaultParagraphFont"/>
    <w:link w:val="Ttulo4"/>
    <w:qFormat/>
    <w:rsid w:val="00a45a85"/>
    <w:rPr>
      <w:rFonts w:ascii="Calibri" w:hAnsi="Calibri" w:eastAsia="ＭＳ ゴシック" w:cs="Times New Roman" w:asciiTheme="majorHAnsi" w:cstheme="majorBidi" w:eastAsiaTheme="majorEastAsia" w:hAnsiTheme="majorHAnsi"/>
      <w:i/>
      <w:iCs/>
      <w:color w:val="365F91" w:themeColor="accent1" w:themeShade="bf"/>
      <w:sz w:val="24"/>
      <w:szCs w:val="24"/>
      <w:lang w:eastAsia="pt-BR"/>
    </w:rPr>
  </w:style>
  <w:style w:type="character" w:styleId="TtuloChar" w:customStyle="1">
    <w:name w:val="Título Char"/>
    <w:basedOn w:val="DefaultParagraphFont"/>
    <w:link w:val="Ttulo"/>
    <w:qFormat/>
    <w:rsid w:val="007f77ad"/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Nivel01Char" w:customStyle="1">
    <w:name w:val="Nivel 01 Char"/>
    <w:basedOn w:val="TtuloChar"/>
    <w:link w:val="Nivel01"/>
    <w:qFormat/>
    <w:rsid w:val="00a974bd"/>
    <w:rPr>
      <w:rFonts w:ascii="Arial" w:hAnsi="Arial" w:eastAsia="ＭＳ ゴシック" w:cs="Arial" w:eastAsiaTheme="majorEastAsia"/>
      <w:b/>
      <w:bCs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Ttulo1Char" w:customStyle="1">
    <w:name w:val="Título 1 Char"/>
    <w:basedOn w:val="DefaultParagraphFont"/>
    <w:link w:val="Ttulo1"/>
    <w:uiPriority w:val="9"/>
    <w:qFormat/>
    <w:rsid w:val="007f77ad"/>
    <w:rPr>
      <w:rFonts w:ascii="Calibri" w:hAnsi="Calibri" w:eastAsia="ＭＳ ゴシック" w:cs="Times New Roman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pt-BR"/>
    </w:rPr>
  </w:style>
  <w:style w:type="character" w:styleId="Nivel01TituloChar" w:customStyle="1">
    <w:name w:val="Nivel_01_Titulo Char"/>
    <w:basedOn w:val="Nivel01Char"/>
    <w:link w:val="Nivel01Titulo"/>
    <w:qFormat/>
    <w:rsid w:val="00e967ea"/>
    <w:rPr>
      <w:rFonts w:ascii="Arial" w:hAnsi="Arial" w:eastAsia="ＭＳ ゴシック" w:cs="Times New Roman" w:cstheme="majorBidi" w:eastAsiaTheme="majorEastAsia"/>
      <w:b/>
      <w:bCs/>
      <w:color w:val="000000" w:themeColor="text1"/>
      <w:spacing w:val="5"/>
      <w:kern w:val="2"/>
      <w:sz w:val="52"/>
      <w:szCs w:val="52"/>
      <w:lang w:eastAsia="pt-BR"/>
    </w:rPr>
  </w:style>
  <w:style w:type="character" w:styleId="QuoteChar" w:customStyle="1">
    <w:name w:val="Quote Char"/>
    <w:basedOn w:val="DefaultParagraphFont"/>
    <w:link w:val="Citao1"/>
    <w:qFormat/>
    <w:rsid w:val="00b77761"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 w:customStyle="1">
    <w:name w:val="normaltextrun"/>
    <w:basedOn w:val="DefaultParagraphFont"/>
    <w:qFormat/>
    <w:rsid w:val="0053119e"/>
    <w:rPr/>
  </w:style>
  <w:style w:type="character" w:styleId="Eop" w:customStyle="1">
    <w:name w:val="eop"/>
    <w:basedOn w:val="DefaultParagraphFont"/>
    <w:qFormat/>
    <w:rsid w:val="0053119e"/>
    <w:rPr/>
  </w:style>
  <w:style w:type="character" w:styleId="Spellingerror" w:customStyle="1">
    <w:name w:val="spellingerror"/>
    <w:basedOn w:val="DefaultParagraphFont"/>
    <w:qFormat/>
    <w:rsid w:val="0053119e"/>
    <w:rPr/>
  </w:style>
  <w:style w:type="character" w:styleId="CorpodetextoChar" w:customStyle="1">
    <w:name w:val="Corpo de texto Char"/>
    <w:basedOn w:val="DefaultParagraphFont"/>
    <w:link w:val="Corpodetexto"/>
    <w:uiPriority w:val="99"/>
    <w:qFormat/>
    <w:rsid w:val="00405763"/>
    <w:rPr>
      <w:rFonts w:eastAsia="Times New Roman"/>
      <w:sz w:val="24"/>
      <w:szCs w:val="24"/>
      <w:lang w:eastAsia="pt-BR"/>
    </w:rPr>
  </w:style>
  <w:style w:type="character" w:styleId="Nivel1Char" w:customStyle="1">
    <w:name w:val="Nivel1 Char"/>
    <w:basedOn w:val="Ttulo1Char"/>
    <w:link w:val="Nivel1"/>
    <w:qFormat/>
    <w:rsid w:val="001b6423"/>
    <w:rPr>
      <w:rFonts w:ascii="Arial" w:hAnsi="Arial" w:eastAsia="ＭＳ ゴシック" w:cs="Arial" w:eastAsiaTheme="majorEastAsia"/>
      <w:b/>
      <w:bCs w:val="false"/>
      <w:color w:val="000000"/>
      <w:sz w:val="28"/>
      <w:szCs w:val="28"/>
      <w:lang w:eastAsia="pt-BR"/>
    </w:rPr>
  </w:style>
  <w:style w:type="character" w:styleId="Nivel4Char" w:customStyle="1">
    <w:name w:val="Nivel 4 Char"/>
    <w:basedOn w:val="DefaultParagraphFont"/>
    <w:link w:val="Nivel4"/>
    <w:qFormat/>
    <w:rsid w:val="00447f3e"/>
    <w:rPr>
      <w:rFonts w:ascii="Arial" w:hAnsi="Arial" w:cs="Arial"/>
      <w:lang w:eastAsia="pt-BR"/>
    </w:rPr>
  </w:style>
  <w:style w:type="character" w:styleId="Cp0020corpodespachochar1" w:customStyle="1">
    <w:name w:val="cp_0020corpodespacho__char1"/>
    <w:qFormat/>
    <w:rsid w:val="00d30a43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d30a43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d30a43"/>
    <w:rPr>
      <w:b/>
      <w:bCs/>
    </w:rPr>
  </w:style>
  <w:style w:type="character" w:styleId="Nfase">
    <w:name w:val="Ênfase"/>
    <w:basedOn w:val="DefaultParagraphFont"/>
    <w:uiPriority w:val="20"/>
    <w:qFormat/>
    <w:rsid w:val="00d30a43"/>
    <w:rPr>
      <w:i/>
      <w:iCs/>
    </w:rPr>
  </w:style>
  <w:style w:type="character" w:styleId="Manoel" w:customStyle="1">
    <w:name w:val="Manoel"/>
    <w:qFormat/>
    <w:rsid w:val="00d30a43"/>
    <w:rPr>
      <w:rFonts w:ascii="Arial" w:hAnsi="Arial" w:cs="Arial"/>
      <w:color w:val="7030A0"/>
      <w:sz w:val="20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d30a43"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 w:customStyle="1">
    <w:name w:val="highlight"/>
    <w:basedOn w:val="DefaultParagraphFont"/>
    <w:qFormat/>
    <w:rsid w:val="00d30a43"/>
    <w:rPr/>
  </w:style>
  <w:style w:type="character" w:styleId="Linkdainternetvisitado">
    <w:name w:val="Link da internet visitado"/>
    <w:basedOn w:val="DefaultParagraphFont"/>
    <w:uiPriority w:val="99"/>
    <w:semiHidden/>
    <w:unhideWhenUsed/>
    <w:rsid w:val="00d30a43"/>
    <w:rPr>
      <w:color w:val="800080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d30a43"/>
    <w:rPr>
      <w:color w:val="605E5C"/>
      <w:shd w:fill="E1DFDD" w:val="clear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63029c"/>
    <w:rPr>
      <w:color w:val="605E5C"/>
      <w:shd w:fill="E1DFDD" w:val="clear"/>
    </w:rPr>
  </w:style>
  <w:style w:type="character" w:styleId="Nivel2Char" w:customStyle="1">
    <w:name w:val="Nivel 2 Char"/>
    <w:basedOn w:val="DefaultParagraphFont"/>
    <w:link w:val="Nivel2"/>
    <w:qFormat/>
    <w:locked/>
    <w:rsid w:val="00447f3e"/>
    <w:rPr>
      <w:rFonts w:ascii="Arial" w:hAnsi="Arial" w:cs="Arial"/>
      <w:color w:val="000000"/>
      <w:lang w:eastAsia="pt-BR"/>
    </w:rPr>
  </w:style>
  <w:style w:type="character" w:styleId="Nvel2OpcionalChar" w:customStyle="1">
    <w:name w:val="Nível 2 Opcional Char"/>
    <w:basedOn w:val="DefaultParagraphFont"/>
    <w:link w:val="Nvel2Opcional"/>
    <w:qFormat/>
    <w:rsid w:val="00a831d9"/>
    <w:rPr>
      <w:rFonts w:ascii="Arial" w:hAnsi="Arial" w:eastAsia="Times New Roman" w:cs="Arial"/>
      <w:i/>
      <w:color w:val="FF0000"/>
      <w:lang w:eastAsia="pt-BR"/>
    </w:rPr>
  </w:style>
  <w:style w:type="character" w:styleId="Nvel3OpcionalChar" w:customStyle="1">
    <w:name w:val="Nível 3 Opcional Char"/>
    <w:basedOn w:val="DefaultParagraphFont"/>
    <w:link w:val="Nvel3Opcional"/>
    <w:qFormat/>
    <w:rsid w:val="00a831d9"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uiPriority w:val="67"/>
    <w:semiHidden/>
    <w:qFormat/>
    <w:rsid w:val="0029332d"/>
    <w:rPr>
      <w:color w:val="808080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 w:customStyle="1">
    <w:name w:val="Título 3 Char"/>
    <w:basedOn w:val="DefaultParagraphFont"/>
    <w:link w:val="Ttulo3"/>
    <w:uiPriority w:val="9"/>
    <w:semiHidden/>
    <w:qFormat/>
    <w:rsid w:val="00cb3192"/>
    <w:rPr>
      <w:rFonts w:ascii="Calibri" w:hAnsi="Calibri" w:eastAsia="ＭＳ ゴシック" w:cs="Times New Roman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Ttulo6Char" w:customStyle="1">
    <w:name w:val="Título 6 Char"/>
    <w:basedOn w:val="DefaultParagraphFont"/>
    <w:link w:val="Ttulo6"/>
    <w:uiPriority w:val="9"/>
    <w:semiHidden/>
    <w:qFormat/>
    <w:rsid w:val="00cb3192"/>
    <w:rPr>
      <w:rFonts w:ascii="Calibri" w:hAnsi="Calibri" w:eastAsia="ＭＳ ゴシック" w:cs="Times New Roman" w:asciiTheme="majorHAnsi" w:cstheme="majorBidi" w:eastAsiaTheme="majorEastAsia" w:hAnsiTheme="majorHAnsi"/>
      <w:color w:val="243F60" w:themeColor="accent1" w:themeShade="7f"/>
      <w:sz w:val="22"/>
      <w:szCs w:val="22"/>
    </w:rPr>
  </w:style>
  <w:style w:type="character" w:styleId="Markedcontent" w:customStyle="1">
    <w:name w:val="markedcontent"/>
    <w:basedOn w:val="DefaultParagraphFont"/>
    <w:qFormat/>
    <w:rsid w:val="00cb3192"/>
    <w:rPr/>
  </w:style>
  <w:style w:type="character" w:styleId="MenoPendente3" w:customStyle="1">
    <w:name w:val="Menção Pendente3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MenoPendente4" w:customStyle="1">
    <w:name w:val="Menção Pendente4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OuChar" w:customStyle="1">
    <w:name w:val="ou Char"/>
    <w:basedOn w:val="PargrafodaListaChar"/>
    <w:link w:val="ou"/>
    <w:qFormat/>
    <w:rsid w:val="00d14643"/>
    <w:rPr>
      <w:rFonts w:ascii="Arial" w:hAnsi="Arial" w:eastAsia="Cambria" w:cs="Arial" w:eastAsiaTheme="minorHAnsi"/>
      <w:b/>
      <w:bCs/>
      <w:i/>
      <w:iCs/>
      <w:color w:val="FF0000"/>
      <w:sz w:val="24"/>
      <w:szCs w:val="24"/>
      <w:u w:val="single"/>
      <w:lang w:eastAsia="pt-BR"/>
    </w:rPr>
  </w:style>
  <w:style w:type="character" w:styleId="Nvel2RedChar" w:customStyle="1">
    <w:name w:val="Nível 2 -Red Char"/>
    <w:basedOn w:val="Nivel2Char"/>
    <w:link w:val="Nvel2-Red"/>
    <w:qFormat/>
    <w:rsid w:val="00447f3e"/>
    <w:rPr>
      <w:rFonts w:ascii="Arial" w:hAnsi="Arial" w:cs="Arial"/>
      <w:i/>
      <w:iCs/>
      <w:color w:val="FF0000"/>
      <w:lang w:eastAsia="pt-BR"/>
    </w:rPr>
  </w:style>
  <w:style w:type="character" w:styleId="Nivel3Char" w:customStyle="1">
    <w:name w:val="Nivel 3 Char"/>
    <w:basedOn w:val="DefaultParagraphFont"/>
    <w:link w:val="Nivel3"/>
    <w:qFormat/>
    <w:rsid w:val="00447f3e"/>
    <w:rPr>
      <w:rFonts w:ascii="Arial" w:hAnsi="Arial" w:cs="Arial"/>
      <w:color w:val="000000"/>
      <w:lang w:eastAsia="pt-BR"/>
    </w:rPr>
  </w:style>
  <w:style w:type="character" w:styleId="Nvel3RChar" w:customStyle="1">
    <w:name w:val="Nível 3-R Char"/>
    <w:basedOn w:val="Nivel3Char"/>
    <w:link w:val="Nvel3-R"/>
    <w:qFormat/>
    <w:rsid w:val="00447f3e"/>
    <w:rPr>
      <w:rFonts w:ascii="Arial" w:hAnsi="Arial" w:cs="Arial"/>
      <w:i/>
      <w:iCs/>
      <w:color w:val="FF0000"/>
      <w:lang w:eastAsia="pt-BR"/>
    </w:rPr>
  </w:style>
  <w:style w:type="character" w:styleId="Nvel4RChar" w:customStyle="1">
    <w:name w:val="Nível 4-R Char"/>
    <w:basedOn w:val="Nivel4Char"/>
    <w:link w:val="Nvel4-R"/>
    <w:qFormat/>
    <w:rsid w:val="00447f3e"/>
    <w:rPr>
      <w:rFonts w:ascii="Arial" w:hAnsi="Arial" w:cs="Arial"/>
      <w:i/>
      <w:iCs/>
      <w:color w:val="FF0000"/>
      <w:lang w:eastAsia="pt-BR"/>
    </w:rPr>
  </w:style>
  <w:style w:type="character" w:styleId="Nvel1SemNumChar" w:customStyle="1">
    <w:name w:val="Nível 1-Sem Num Char"/>
    <w:basedOn w:val="Nivel01Char"/>
    <w:link w:val="Nvel1-SemNum"/>
    <w:qFormat/>
    <w:rsid w:val="00447f3e"/>
    <w:rPr>
      <w:rFonts w:ascii="Arial" w:hAnsi="Arial" w:eastAsia="ＭＳ ゴシック" w:cs="Arial" w:eastAsiaTheme="majorEastAsia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 w:customStyle="1">
    <w:name w:val="Preâmbulo Char"/>
    <w:basedOn w:val="DefaultParagraphFont"/>
    <w:link w:val="Prembulo"/>
    <w:qFormat/>
    <w:rsid w:val="00bb19e4"/>
    <w:rPr>
      <w:rFonts w:ascii="Arial" w:hAnsi="Arial" w:eastAsia="Arial" w:cs="Arial"/>
      <w:bCs/>
      <w:lang w:eastAsia="pt-BR"/>
    </w:rPr>
  </w:style>
  <w:style w:type="character" w:styleId="MenoPendente5" w:customStyle="1">
    <w:name w:val="Menção Pendente5"/>
    <w:basedOn w:val="DefaultParagraphFont"/>
    <w:uiPriority w:val="99"/>
    <w:semiHidden/>
    <w:unhideWhenUsed/>
    <w:qFormat/>
    <w:rsid w:val="00e27aeb"/>
    <w:rPr>
      <w:color w:val="605E5C"/>
      <w:shd w:fill="E1DFDD" w:val="clear"/>
    </w:rPr>
  </w:style>
  <w:style w:type="character" w:styleId="Citao2Char" w:customStyle="1">
    <w:name w:val="citação 2 Char"/>
    <w:basedOn w:val="CitaoChar"/>
    <w:link w:val="citao2"/>
    <w:qFormat/>
    <w:rsid w:val="003c7a23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MenoPendente6" w:customStyle="1">
    <w:name w:val="Menção Pendente6"/>
    <w:basedOn w:val="DefaultParagraphFont"/>
    <w:uiPriority w:val="99"/>
    <w:semiHidden/>
    <w:unhideWhenUsed/>
    <w:qFormat/>
    <w:rsid w:val="009944df"/>
    <w:rPr>
      <w:color w:val="605E5C"/>
      <w:shd w:fill="E1DFDD" w:val="clear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qFormat/>
    <w:rsid w:val="009a0da5"/>
    <w:rPr>
      <w:color w:val="605E5C"/>
      <w:shd w:fill="E1DFDD" w:val="clear"/>
    </w:rPr>
  </w:style>
  <w:style w:type="character" w:styleId="Ngstarinserted" w:customStyle="1">
    <w:name w:val="ng-star-inserted"/>
    <w:basedOn w:val="DefaultParagraphFont"/>
    <w:qFormat/>
    <w:rsid w:val="00301d2b"/>
    <w:rPr/>
  </w:style>
  <w:style w:type="character" w:styleId="Nvel3Char" w:customStyle="1">
    <w:name w:val="Nível 3 Char"/>
    <w:basedOn w:val="Nvel3RChar"/>
    <w:link w:val="Nvel3"/>
    <w:qFormat/>
    <w:rsid w:val="00301d2b"/>
    <w:rPr>
      <w:rFonts w:ascii="Arial" w:hAnsi="Arial" w:eastAsia="Times New Roman" w:cs="Arial"/>
      <w:i w:val="false"/>
      <w:iCs w:val="false"/>
      <w:color w:val="FF0000"/>
      <w:lang w:eastAsia="pt-BR"/>
    </w:rPr>
  </w:style>
  <w:style w:type="character" w:styleId="Nvel4Char" w:customStyle="1">
    <w:name w:val="Nível 4 Char"/>
    <w:basedOn w:val="Nvel3Char"/>
    <w:link w:val="Nvel4"/>
    <w:qFormat/>
    <w:rsid w:val="00301d2b"/>
    <w:rPr>
      <w:rFonts w:ascii="Arial" w:hAnsi="Arial" w:eastAsia="Times New Roman" w:cs="Arial"/>
      <w:i w:val="false"/>
      <w:iCs w:val="false"/>
      <w:color w:val="FF0000"/>
      <w:lang w:eastAsia="pt-BR"/>
    </w:rPr>
  </w:style>
  <w:style w:type="character" w:styleId="SubTitNNChar" w:customStyle="1">
    <w:name w:val="SubTitNN Char"/>
    <w:basedOn w:val="DefaultParagraphFont"/>
    <w:link w:val="SubTitNN"/>
    <w:qFormat/>
    <w:rsid w:val="00301d2b"/>
    <w:rPr>
      <w:rFonts w:ascii="Arial" w:hAnsi="Arial" w:eastAsia="Times New Roman" w:cs="Arial"/>
      <w:b/>
      <w:bCs/>
      <w:iCs/>
      <w:lang w:eastAsia="pt-BR"/>
    </w:rPr>
  </w:style>
  <w:style w:type="character" w:styleId="Ttulo5Char" w:customStyle="1">
    <w:name w:val="Título 5 Char"/>
    <w:basedOn w:val="DefaultParagraphFont"/>
    <w:link w:val="Ttulo5"/>
    <w:uiPriority w:val="9"/>
    <w:qFormat/>
    <w:rsid w:val="00e86177"/>
    <w:rPr>
      <w:rFonts w:ascii="Calibri" w:hAnsi="Calibri" w:eastAsia="Times New Roman"/>
      <w:b/>
      <w:bCs/>
      <w:i/>
      <w:iCs/>
      <w:sz w:val="26"/>
      <w:szCs w:val="26"/>
      <w:lang w:val="x-none" w:eastAsia="x-non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e86177"/>
    <w:rPr>
      <w:color w:val="605E5C"/>
      <w:shd w:fill="E1DFDD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uiPriority w:val="99"/>
    <w:unhideWhenUsed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uiPriority w:val="99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d30a43"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3"/>
      </w:numPr>
      <w:spacing w:before="0" w:after="0"/>
      <w:contextualSpacing/>
    </w:pPr>
    <w:rPr/>
  </w:style>
  <w:style w:type="paragraph" w:styleId="Notaexplicativa" w:customStyle="1">
    <w:name w:val="Nota explicativa"/>
    <w:basedOn w:val="Quote"/>
    <w:link w:val="NotaexplicativaChar"/>
    <w:qFormat/>
    <w:rsid w:val="00265fb6"/>
    <w:pPr/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unhideWhenUsed/>
    <w:qFormat/>
    <w:rsid w:val="00d30a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430fdb"/>
    <w:pPr/>
    <w:rPr>
      <w:b/>
      <w:bCs/>
    </w:rPr>
  </w:style>
  <w:style w:type="paragraph" w:styleId="Nivel01" w:customStyle="1">
    <w:name w:val="Nivel 01"/>
    <w:basedOn w:val="Ttulo1"/>
    <w:next w:val="Normal"/>
    <w:link w:val="Nivel01Char"/>
    <w:autoRedefine/>
    <w:qFormat/>
    <w:rsid w:val="00a974bd"/>
    <w:pPr>
      <w:tabs>
        <w:tab w:val="clear" w:pos="708"/>
        <w:tab w:val="left" w:pos="567" w:leader="none"/>
      </w:tabs>
      <w:spacing w:lineRule="auto" w:line="312" w:before="288" w:after="288"/>
      <w:jc w:val="both"/>
      <w:outlineLvl w:val="9"/>
    </w:pPr>
    <w:rPr>
      <w:rFonts w:ascii="Arial" w:hAnsi="Arial" w:cs="Arial"/>
      <w:color w:val="auto"/>
      <w:sz w:val="20"/>
      <w:szCs w:val="20"/>
    </w:rPr>
  </w:style>
  <w:style w:type="paragraph" w:styleId="Nivel01Titulo" w:customStyle="1">
    <w:name w:val="Nivel_01_Titulo"/>
    <w:basedOn w:val="Nivel01"/>
    <w:link w:val="Nivel01TituloChar"/>
    <w:qFormat/>
    <w:rsid w:val="00e967ea"/>
    <w:pPr>
      <w:jc w:val="left"/>
    </w:pPr>
    <w:rPr>
      <w:rFonts w:cs="Times New Roman" w:cstheme="majorBidi"/>
      <w:color w:val="000000" w:themeColor="text1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link w:val="TtuloChar"/>
    <w:qFormat/>
    <w:rsid w:val="007f77ad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ＭＳ ゴシック" w:cs="Times New Roman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PADRO" w:customStyle="1">
    <w:name w:val="PADRÃO"/>
    <w:qFormat/>
    <w:rsid w:val="001e2495"/>
    <w:pPr>
      <w:keepNext w:val="true"/>
      <w:widowControl w:val="false"/>
      <w:shd w:val="clear" w:color="auto" w:fill="FFFFFF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eastAsia="zh-CN" w:bidi="hi-IN" w:val="pt-BR"/>
    </w:rPr>
  </w:style>
  <w:style w:type="paragraph" w:styleId="Citao1" w:customStyle="1">
    <w:name w:val="Citação1"/>
    <w:basedOn w:val="Normal"/>
    <w:next w:val="Normal"/>
    <w:link w:val="Quote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 w:customStyle="1">
    <w:name w:val="paragraph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ivel1" w:customStyle="1">
    <w:name w:val="Nivel1"/>
    <w:basedOn w:val="Ttulo1"/>
    <w:link w:val="Nivel1Char"/>
    <w:qFormat/>
    <w:rsid w:val="00d30a43"/>
    <w:pPr>
      <w:spacing w:lineRule="auto" w:line="276"/>
      <w:ind w:left="357" w:hanging="357"/>
      <w:jc w:val="both"/>
      <w:outlineLvl w:val="9"/>
    </w:pPr>
    <w:rPr>
      <w:rFonts w:ascii="Arial" w:hAnsi="Arial" w:cs="Arial"/>
      <w:bCs w:val="false"/>
      <w:color w:val="000000"/>
    </w:rPr>
  </w:style>
  <w:style w:type="paragraph" w:styleId="PargrafodaLista1" w:customStyle="1">
    <w:name w:val="Parágrafo da Lista1"/>
    <w:basedOn w:val="Normal"/>
    <w:qFormat/>
    <w:rsid w:val="00d30a43"/>
    <w:pPr>
      <w:ind w:left="720" w:hanging="0"/>
    </w:pPr>
    <w:rPr>
      <w:rFonts w:eastAsia="Times New Roman" w:cs="Ecofont_Spranq_eco_Sans"/>
    </w:rPr>
  </w:style>
  <w:style w:type="paragraph" w:styleId="Nivel2" w:customStyle="1">
    <w:name w:val="Nivel 2"/>
    <w:basedOn w:val="Normal"/>
    <w:link w:val="Nivel2Char"/>
    <w:qFormat/>
    <w:rsid w:val="00447f3e"/>
    <w:pPr>
      <w:numPr>
        <w:ilvl w:val="0"/>
        <w:numId w:val="2"/>
      </w:numPr>
      <w:spacing w:lineRule="auto" w:line="276" w:before="120" w:after="120"/>
      <w:ind w:left="0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11" w:customStyle="1">
    <w:name w:val="Nivel 1"/>
    <w:basedOn w:val="Nivel2"/>
    <w:next w:val="Nivel2"/>
    <w:qFormat/>
    <w:rsid w:val="003629e4"/>
    <w:pPr>
      <w:numPr>
        <w:ilvl w:val="0"/>
        <w:numId w:val="0"/>
      </w:numPr>
      <w:ind w:left="360" w:hanging="360"/>
    </w:pPr>
    <w:rPr>
      <w:b/>
    </w:rPr>
  </w:style>
  <w:style w:type="paragraph" w:styleId="Nivel3" w:customStyle="1">
    <w:name w:val="Nivel 3"/>
    <w:basedOn w:val="Normal"/>
    <w:link w:val="Nivel3Char"/>
    <w:qFormat/>
    <w:rsid w:val="00447f3e"/>
    <w:pPr>
      <w:numPr>
        <w:ilvl w:val="0"/>
        <w:numId w:val="2"/>
      </w:numPr>
      <w:spacing w:lineRule="auto" w:line="276" w:before="120" w:after="120"/>
      <w:ind w:left="284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4" w:customStyle="1">
    <w:name w:val="Nivel 4"/>
    <w:basedOn w:val="Nivel3"/>
    <w:link w:val="Nivel4Char"/>
    <w:qFormat/>
    <w:rsid w:val="00447f3e"/>
    <w:pPr>
      <w:ind w:left="567" w:hanging="0"/>
    </w:pPr>
    <w:rPr>
      <w:color w:val="auto"/>
    </w:rPr>
  </w:style>
  <w:style w:type="paragraph" w:styleId="Nivel5" w:customStyle="1">
    <w:name w:val="Nivel 5"/>
    <w:basedOn w:val="Nivel4"/>
    <w:qFormat/>
    <w:rsid w:val="00447f3e"/>
    <w:pPr>
      <w:ind w:left="851" w:hanging="0"/>
    </w:pPr>
    <w:rPr/>
  </w:style>
  <w:style w:type="paragraph" w:styleId="Textbody" w:customStyle="1">
    <w:name w:val="textbody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Em0020ementa" w:customStyle="1">
    <w:name w:val="em_0020ementa"/>
    <w:basedOn w:val="Normal"/>
    <w:qFormat/>
    <w:rsid w:val="00d30a43"/>
    <w:pPr>
      <w:ind w:left="416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uiPriority w:val="99"/>
    <w:semiHidden/>
    <w:qFormat/>
    <w:rsid w:val="00d30a43"/>
    <w:pPr>
      <w:widowControl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eastAsia="pt-BR" w:val="pt-BR" w:bidi="ar-SA"/>
    </w:rPr>
  </w:style>
  <w:style w:type="paragraph" w:styleId="Texto1" w:customStyle="1">
    <w:name w:val="texto1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 w:customStyle="1">
    <w:name w:val="x_western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CUAcitem90" w:customStyle="1">
    <w:name w:val="TCU - Ac - item 9 - §§_0"/>
    <w:basedOn w:val="Normal"/>
    <w:qFormat/>
    <w:rsid w:val="00d30a43"/>
    <w:pPr>
      <w:ind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 w:customStyle="1">
    <w:name w:val="Normal_1"/>
    <w:qFormat/>
    <w:rsid w:val="00d30a43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acitem91linha" w:customStyle="1">
    <w:name w:val="tcu_-__ac_-_item_9_-_1ª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recuoprimeiralinha" w:customStyle="1">
    <w:name w:val="texto_justificado_recuo_primeira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" w:customStyle="1">
    <w:name w:val="texto_justificado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Opcional" w:customStyle="1">
    <w:name w:val="Nível 2 Opcional"/>
    <w:basedOn w:val="Nivel2"/>
    <w:link w:val="Nvel2OpcionalChar"/>
    <w:qFormat/>
    <w:rsid w:val="00a831d9"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styleId="Nvel3Opcional" w:customStyle="1">
    <w:name w:val="Nível 3 Opcional"/>
    <w:basedOn w:val="Nivel3"/>
    <w:link w:val="Nvel3OpcionalChar"/>
    <w:qFormat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paragraph" w:styleId="SombreamentoMdio1nfase31" w:customStyle="1">
    <w:name w:val="Sombreamento Médio 1 - Ênfase 31"/>
    <w:basedOn w:val="Normal"/>
    <w:next w:val="Normal"/>
    <w:qFormat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 w:customStyle="1">
    <w:name w:val="corpo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2" w:customStyle="1">
    <w:name w:val="item_nivel2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1" w:customStyle="1">
    <w:name w:val="item_nivel1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alinealetra" w:customStyle="1">
    <w:name w:val="item_alinea_letra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rsid w:val="00cb319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eastAsia="zh-CN" w:bidi="hi-IN" w:val="pt-BR"/>
    </w:rPr>
  </w:style>
  <w:style w:type="paragraph" w:styleId="Textbody1" w:customStyle="1">
    <w:name w:val="Text body"/>
    <w:basedOn w:val="Standard"/>
    <w:qFormat/>
    <w:rsid w:val="00cb3192"/>
    <w:pPr>
      <w:spacing w:lineRule="auto" w:line="276" w:before="0" w:after="140"/>
    </w:pPr>
    <w:rPr/>
  </w:style>
  <w:style w:type="paragraph" w:styleId="Ou" w:customStyle="1">
    <w:name w:val="ou"/>
    <w:basedOn w:val="ListParagraph"/>
    <w:link w:val="ouChar"/>
    <w:qFormat/>
    <w:rsid w:val="00d14643"/>
    <w:pPr>
      <w:spacing w:lineRule="auto" w:line="259" w:before="60" w:after="60"/>
      <w:ind w:left="0" w:hanging="0"/>
      <w:contextualSpacing w:val="false"/>
      <w:jc w:val="center"/>
    </w:pPr>
    <w:rPr>
      <w:rFonts w:ascii="Arial" w:hAnsi="Arial" w:eastAsia="Cambria" w:cs="Arial" w:eastAsiaTheme="minorHAnsi"/>
      <w:b/>
      <w:bCs/>
      <w:i/>
      <w:iCs/>
      <w:color w:val="FF0000"/>
      <w:u w:val="single"/>
    </w:rPr>
  </w:style>
  <w:style w:type="paragraph" w:styleId="Douparagraph" w:customStyle="1">
    <w:name w:val="dou-paragraph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Red" w:customStyle="1">
    <w:name w:val="Nível 2 -Red"/>
    <w:basedOn w:val="Nivel2"/>
    <w:link w:val="Nvel2-RedChar"/>
    <w:qFormat/>
    <w:rsid w:val="00447f3e"/>
    <w:pPr/>
    <w:rPr>
      <w:i/>
      <w:iCs/>
      <w:color w:val="FF0000"/>
    </w:rPr>
  </w:style>
  <w:style w:type="paragraph" w:styleId="Nvel3R" w:customStyle="1">
    <w:name w:val="Nível 3-R"/>
    <w:basedOn w:val="Nivel3"/>
    <w:link w:val="Nvel3-RChar"/>
    <w:qFormat/>
    <w:rsid w:val="00447f3e"/>
    <w:pPr/>
    <w:rPr>
      <w:i/>
      <w:iCs/>
      <w:color w:val="FF0000"/>
    </w:rPr>
  </w:style>
  <w:style w:type="paragraph" w:styleId="Nvel4R" w:customStyle="1">
    <w:name w:val="Nível 4-R"/>
    <w:basedOn w:val="Nivel4"/>
    <w:link w:val="Nvel4-RChar"/>
    <w:qFormat/>
    <w:rsid w:val="00447f3e"/>
    <w:pPr/>
    <w:rPr>
      <w:i/>
      <w:iCs/>
      <w:color w:val="FF0000"/>
    </w:rPr>
  </w:style>
  <w:style w:type="paragraph" w:styleId="Nvel1SemNum" w:customStyle="1">
    <w:name w:val="Nível 1-Sem Num"/>
    <w:basedOn w:val="Nivel01"/>
    <w:link w:val="Nvel1-SemNumChar"/>
    <w:qFormat/>
    <w:rsid w:val="00447f3e"/>
    <w:pPr>
      <w:outlineLvl w:val="1"/>
    </w:pPr>
    <w:rPr>
      <w:color w:val="FF0000"/>
    </w:rPr>
  </w:style>
  <w:style w:type="paragraph" w:styleId="Citao2" w:customStyle="1">
    <w:name w:val="citação 2"/>
    <w:basedOn w:val="Quote"/>
    <w:link w:val="citao2Char"/>
    <w:qFormat/>
    <w:rsid w:val="00dc41dd"/>
    <w:pPr>
      <w:overflowPunct w:val="true"/>
    </w:pPr>
    <w:rPr>
      <w:szCs w:val="20"/>
    </w:rPr>
  </w:style>
  <w:style w:type="paragraph" w:styleId="Prembulo" w:customStyle="1">
    <w:name w:val="Preâmbulo"/>
    <w:basedOn w:val="Normal"/>
    <w:link w:val="PrembuloChar"/>
    <w:qFormat/>
    <w:rsid w:val="00bb19e4"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TOCHeading">
    <w:name w:val="TOC Heading"/>
    <w:basedOn w:val="Ttulo1"/>
    <w:next w:val="Normal"/>
    <w:uiPriority w:val="39"/>
    <w:unhideWhenUsed/>
    <w:qFormat/>
    <w:rsid w:val="003f579d"/>
    <w:pPr>
      <w:spacing w:lineRule="auto" w:line="259" w:before="240" w:after="0"/>
      <w:outlineLvl w:val="9"/>
    </w:pPr>
    <w:rPr>
      <w:b w:val="false"/>
      <w:bCs w:val="false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clear" w:pos="708"/>
        <w:tab w:val="left" w:pos="426" w:leader="none"/>
        <w:tab w:val="right" w:pos="9628" w:leader="dot"/>
      </w:tabs>
      <w:spacing w:before="0" w:after="100"/>
    </w:pPr>
    <w:rPr>
      <w:rFonts w:ascii="Arial" w:hAnsi="Arial" w:eastAsia="Times New Roman"/>
      <w:sz w:val="20"/>
    </w:rPr>
  </w:style>
  <w:style w:type="paragraph" w:styleId="Default" w:customStyle="1">
    <w:name w:val="Default"/>
    <w:qFormat/>
    <w:rsid w:val="00301d2b"/>
    <w:pPr>
      <w:widowControl/>
      <w:bidi w:val="0"/>
      <w:spacing w:before="0" w:after="0"/>
      <w:jc w:val="left"/>
    </w:pPr>
    <w:rPr>
      <w:rFonts w:ascii="Arial" w:hAnsi="Arial" w:cs="Arial" w:eastAsia="ＭＳ 明朝"/>
      <w:color w:val="000000"/>
      <w:kern w:val="0"/>
      <w:sz w:val="24"/>
      <w:szCs w:val="24"/>
      <w:lang w:val="pt-BR" w:eastAsia="en-US" w:bidi="ar-SA"/>
    </w:rPr>
  </w:style>
  <w:style w:type="paragraph" w:styleId="Nvel3" w:customStyle="1">
    <w:name w:val="Nível 3"/>
    <w:basedOn w:val="Nvel3R"/>
    <w:link w:val="Nvel3Char"/>
    <w:qFormat/>
    <w:rsid w:val="00301d2b"/>
    <w:pPr/>
    <w:rPr>
      <w:rFonts w:eastAsia="Times New Roman"/>
      <w:i w:val="false"/>
      <w:iCs w:val="false"/>
    </w:rPr>
  </w:style>
  <w:style w:type="paragraph" w:styleId="Nvel4" w:customStyle="1">
    <w:name w:val="Nível 4"/>
    <w:basedOn w:val="Nvel3"/>
    <w:link w:val="Nvel4Char"/>
    <w:qFormat/>
    <w:rsid w:val="00301d2b"/>
    <w:pPr>
      <w:numPr>
        <w:ilvl w:val="0"/>
        <w:numId w:val="0"/>
      </w:numPr>
      <w:ind w:left="567" w:hanging="0"/>
    </w:pPr>
    <w:rPr/>
  </w:style>
  <w:style w:type="paragraph" w:styleId="SubTitNN" w:customStyle="1">
    <w:name w:val="SubTitNN"/>
    <w:basedOn w:val="Normal"/>
    <w:link w:val="SubTitNNChar"/>
    <w:qFormat/>
    <w:rsid w:val="00301d2b"/>
    <w:pPr>
      <w:spacing w:lineRule="auto" w:line="276" w:before="240" w:after="120"/>
      <w:jc w:val="both"/>
    </w:pPr>
    <w:rPr>
      <w:rFonts w:ascii="Arial" w:hAnsi="Arial" w:eastAsia="Times New Roman" w:cs="Arial"/>
      <w:b/>
      <w:bCs/>
      <w:i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8c6874"/>
  </w:style>
  <w:style w:type="numbering" w:styleId="Estilo2" w:customStyle="1">
    <w:name w:val="Estilo2"/>
    <w:uiPriority w:val="99"/>
    <w:qFormat/>
    <w:rsid w:val="00a72b79"/>
  </w:style>
  <w:style w:type="numbering" w:styleId="Estilo3" w:customStyle="1">
    <w:name w:val="Estilo3"/>
    <w:uiPriority w:val="99"/>
    <w:qFormat/>
    <w:rsid w:val="00a72b79"/>
  </w:style>
  <w:style w:type="numbering" w:styleId="Estilo4" w:customStyle="1">
    <w:name w:val="Estilo4"/>
    <w:uiPriority w:val="99"/>
    <w:qFormat/>
    <w:rsid w:val="0054016d"/>
  </w:style>
  <w:style w:type="numbering" w:styleId="Estilo5" w:customStyle="1">
    <w:name w:val="Estilo5"/>
    <w:uiPriority w:val="99"/>
    <w:qFormat/>
    <w:rsid w:val="0054016d"/>
  </w:style>
  <w:style w:type="numbering" w:styleId="Estilo6" w:customStyle="1">
    <w:name w:val="Estilo6"/>
    <w:uiPriority w:val="99"/>
    <w:qFormat/>
    <w:rsid w:val="0054016d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b54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comments" Target="comment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B275-7281-49DC-9744-51C9683D51D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52c93ea8-e2de-466c-b401-d7fabeb9490e"/>
    <ds:schemaRef ds:uri="d7c48ea4-4748-4e79-bb61-d51d73419c9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8C6624-40F9-4E88-BDEF-FD0E7355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LibreOffice/7.2.1.2$Windows_X86_64 LibreOffice_project/87b77fad49947c1441b67c559c339af8f3517e22</Application>
  <AppVersion>15.0000</AppVersion>
  <Pages>9</Pages>
  <Words>2926</Words>
  <Characters>16360</Characters>
  <CharactersWithSpaces>19081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2023-06-19T15:07:00Z</dcterms:created>
  <dc:creator/>
  <dc:description/>
  <dc:language>pt-BR</dc:language>
  <cp:lastModifiedBy/>
  <dcterms:modified xsi:type="dcterms:W3CDTF">2024-10-25T10:08:15Z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MediaServiceImageTags">
    <vt:lpwstr/>
  </property>
</Properties>
</file>